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475"/>
      <w:bookmarkStart w:id="3" w:name="_Toc15377193"/>
      <w:bookmarkStart w:id="4" w:name="_Toc15378441"/>
      <w:bookmarkStart w:id="5" w:name="_Toc15396597"/>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96598"/>
      <w:bookmarkStart w:id="8" w:name="_Toc15377194"/>
      <w:bookmarkStart w:id="9" w:name="_Toc15377426"/>
      <w:bookmarkStart w:id="10" w:name="_Toc15396476"/>
      <w:r>
        <w:rPr>
          <w:rFonts w:hint="eastAsia" w:ascii="方正小标宋简体" w:hAnsi="宋体" w:eastAsia="方正小标宋简体"/>
          <w:color w:val="000000"/>
          <w:sz w:val="72"/>
          <w:szCs w:val="72"/>
        </w:rPr>
        <w:t>四川省</w:t>
      </w:r>
      <w:bookmarkStart w:id="11" w:name="_Toc15306268"/>
      <w:bookmarkEnd w:id="0"/>
      <w:r>
        <w:rPr>
          <w:rFonts w:hint="eastAsia" w:ascii="方正小标宋简体" w:hAnsi="宋体" w:eastAsia="方正小标宋简体"/>
          <w:color w:val="000000"/>
          <w:sz w:val="72"/>
          <w:szCs w:val="72"/>
        </w:rPr>
        <w:t>三台县争胜镇部门决算</w:t>
      </w:r>
      <w:bookmarkEnd w:id="6"/>
      <w:bookmarkEnd w:id="7"/>
      <w:bookmarkEnd w:id="8"/>
      <w:bookmarkEnd w:id="9"/>
      <w:bookmarkEnd w:id="10"/>
      <w:bookmarkEnd w:id="11"/>
      <w:r>
        <w:rPr>
          <w:rFonts w:hint="eastAsia" w:ascii="方正小标宋简体" w:hAnsi="宋体" w:eastAsia="方正小标宋简体"/>
          <w:color w:val="000000"/>
          <w:sz w:val="72"/>
          <w:szCs w:val="72"/>
          <w:lang w:val="en-US" w:eastAsia="zh-CN"/>
        </w:rPr>
        <w:t>编制说明</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rPr>
          <w:rFonts w:cs="黑体"/>
        </w:rPr>
      </w:pPr>
      <w:r>
        <w:fldChar w:fldCharType="begin"/>
      </w:r>
      <w:r>
        <w:instrText xml:space="preserve">HYPERLINK  \l "_Toc15396599" </w:instrText>
      </w:r>
      <w:r>
        <w:fldChar w:fldCharType="separate"/>
      </w:r>
      <w:r>
        <w:rPr>
          <w:rStyle w:val="15"/>
          <w:rFonts w:hint="eastAsia"/>
        </w:rPr>
        <w:t>第一部分部门概况</w:t>
      </w:r>
      <w:r>
        <w:tab/>
      </w:r>
      <w:r>
        <w:rPr>
          <w:rFonts w:hint="eastAsia"/>
        </w:rPr>
        <w:t>4</w:t>
      </w:r>
      <w:r>
        <w:fldChar w:fldCharType="end"/>
      </w:r>
    </w:p>
    <w:p>
      <w:pPr>
        <w:pStyle w:val="11"/>
        <w:rPr>
          <w:rFonts w:ascii="仿宋" w:hAnsi="仿宋" w:eastAsia="仿宋" w:cs="黑体"/>
          <w:sz w:val="28"/>
          <w:szCs w:val="28"/>
        </w:rPr>
      </w:pPr>
      <w:r>
        <w:fldChar w:fldCharType="begin"/>
      </w:r>
      <w:r>
        <w:instrText xml:space="preserve">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fldChar w:fldCharType="end"/>
      </w:r>
    </w:p>
    <w:p>
      <w:pPr>
        <w:pStyle w:val="11"/>
        <w:rPr>
          <w:rFonts w:ascii="仿宋" w:hAnsi="仿宋" w:eastAsia="仿宋" w:cs="黑体"/>
          <w:sz w:val="28"/>
          <w:szCs w:val="28"/>
        </w:rPr>
      </w:pPr>
      <w:r>
        <w:fldChar w:fldCharType="begin"/>
      </w:r>
      <w:r>
        <w:instrText xml:space="preserve">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fldChar w:fldCharType="end"/>
      </w:r>
    </w:p>
    <w:p>
      <w:pPr>
        <w:pStyle w:val="10"/>
      </w:pPr>
      <w:r>
        <w:fldChar w:fldCharType="begin"/>
      </w:r>
      <w:r>
        <w:instrText xml:space="preserve">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7</w:t>
      </w:r>
      <w:r>
        <w:fldChar w:fldCharType="end"/>
      </w:r>
      <w:r>
        <w:fldChar w:fldCharType="end"/>
      </w:r>
    </w:p>
    <w:p>
      <w:pPr>
        <w:pStyle w:val="11"/>
        <w:rPr>
          <w:rFonts w:ascii="仿宋" w:hAnsi="仿宋" w:eastAsia="仿宋" w:cs="黑体"/>
          <w:sz w:val="28"/>
          <w:szCs w:val="28"/>
        </w:rPr>
      </w:pPr>
      <w:r>
        <w:fldChar w:fldCharType="begin"/>
      </w:r>
      <w:r>
        <w:instrText xml:space="preserve">HYPERLINK  \l "_Toc15396603" </w:instrText>
      </w:r>
      <w:r>
        <w:fldChar w:fldCharType="separate"/>
      </w:r>
      <w:r>
        <w:rPr>
          <w:rStyle w:val="15"/>
          <w:rFonts w:hint="eastAsia" w:ascii="仿宋" w:hAnsi="仿宋" w:eastAsia="仿宋" w:cs="黑体"/>
          <w:bCs/>
          <w:sz w:val="28"/>
          <w:szCs w:val="28"/>
        </w:rPr>
        <w:t>一、</w:t>
      </w:r>
      <w:r>
        <w:rPr>
          <w:rStyle w:val="15"/>
          <w:rFonts w:hint="eastAsia" w:ascii="仿宋" w:hAnsi="仿宋" w:eastAsia="仿宋"/>
          <w:sz w:val="28"/>
          <w:szCs w:val="28"/>
        </w:rPr>
        <w:t>收</w:t>
      </w:r>
      <w:r>
        <w:rPr>
          <w:rStyle w:val="15"/>
          <w:rFonts w:hint="eastAsia" w:ascii="仿宋" w:hAnsi="仿宋" w:eastAsia="仿宋" w:cs="黑体"/>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"_Toc15396604" </w:instrText>
      </w:r>
      <w:r>
        <w:fldChar w:fldCharType="separate"/>
      </w:r>
      <w:r>
        <w:rPr>
          <w:rStyle w:val="15"/>
          <w:rFonts w:hint="eastAsia" w:ascii="仿宋" w:hAnsi="仿宋" w:eastAsia="仿宋" w:cs="黑体"/>
          <w:bCs/>
          <w:sz w:val="28"/>
          <w:szCs w:val="28"/>
        </w:rPr>
        <w:t>二、</w:t>
      </w:r>
      <w:r>
        <w:rPr>
          <w:rStyle w:val="15"/>
          <w:rFonts w:hint="eastAsia" w:ascii="仿宋" w:hAnsi="仿宋" w:eastAsia="仿宋"/>
          <w:sz w:val="28"/>
          <w:szCs w:val="28"/>
        </w:rPr>
        <w:t>收</w:t>
      </w:r>
      <w:r>
        <w:rPr>
          <w:rStyle w:val="15"/>
          <w:rFonts w:hint="eastAsia" w:ascii="仿宋" w:hAnsi="仿宋" w:eastAsia="仿宋" w:cs="黑体"/>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"_Toc15396605" </w:instrText>
      </w:r>
      <w:r>
        <w:fldChar w:fldCharType="separate"/>
      </w:r>
      <w:r>
        <w:rPr>
          <w:rStyle w:val="15"/>
          <w:rFonts w:hint="eastAsia" w:ascii="仿宋" w:hAnsi="仿宋" w:eastAsia="仿宋" w:cs="黑体"/>
          <w:bCs/>
          <w:sz w:val="28"/>
          <w:szCs w:val="28"/>
        </w:rPr>
        <w:t>三、</w:t>
      </w:r>
      <w:r>
        <w:rPr>
          <w:rStyle w:val="15"/>
          <w:rFonts w:hint="eastAsia" w:ascii="仿宋" w:hAnsi="仿宋" w:eastAsia="仿宋"/>
          <w:sz w:val="28"/>
          <w:szCs w:val="28"/>
        </w:rPr>
        <w:t>支</w:t>
      </w:r>
      <w:r>
        <w:rPr>
          <w:rStyle w:val="15"/>
          <w:rFonts w:hint="eastAsia" w:ascii="仿宋" w:hAnsi="仿宋" w:eastAsia="仿宋" w:cs="黑体"/>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黑体"/>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黑体"/>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黑体"/>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黑体"/>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黑体"/>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"_Toc15396611" </w:instrText>
      </w:r>
      <w:r>
        <w:fldChar w:fldCharType="separate"/>
      </w:r>
      <w:r>
        <w:rPr>
          <w:rStyle w:val="15"/>
          <w:rFonts w:hint="eastAsia" w:ascii="仿宋" w:hAnsi="仿宋" w:eastAsia="仿宋" w:cs="黑体"/>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黑体"/>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黑体"/>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fldChar w:fldCharType="end"/>
      </w:r>
    </w:p>
    <w:p>
      <w:pPr>
        <w:pStyle w:val="10"/>
        <w:rPr>
          <w:rFonts w:cs="黑体"/>
        </w:rPr>
      </w:pPr>
      <w:r>
        <w:fldChar w:fldCharType="begin"/>
      </w:r>
      <w:r>
        <w:instrText xml:space="preserve">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28</w:t>
      </w:r>
      <w:r>
        <w:fldChar w:fldCharType="end"/>
      </w:r>
      <w:r>
        <w:fldChar w:fldCharType="end"/>
      </w:r>
    </w:p>
    <w:p>
      <w:pPr>
        <w:pStyle w:val="10"/>
        <w:rPr>
          <w:rFonts w:cs="黑体"/>
        </w:rPr>
      </w:pPr>
      <w:r>
        <w:fldChar w:fldCharType="begin"/>
      </w:r>
      <w:r>
        <w:instrText xml:space="preserve">HYPERLINK  \l "_Toc15396614" </w:instrText>
      </w:r>
      <w:r>
        <w:fldChar w:fldCharType="separate"/>
      </w:r>
      <w:r>
        <w:rPr>
          <w:rStyle w:val="15"/>
          <w:rFonts w:hint="eastAsia"/>
        </w:rPr>
        <w:t>第</w:t>
      </w:r>
      <w:r>
        <w:rPr>
          <w:rStyle w:val="15"/>
          <w:rFonts w:hint="eastAsia"/>
          <w:bCs/>
          <w:kern w:val="44"/>
        </w:rPr>
        <w:t>四部分附件</w:t>
      </w:r>
      <w:r>
        <w:tab/>
      </w:r>
      <w:r>
        <w:rPr>
          <w:rFonts w:hint="eastAsia"/>
        </w:rPr>
        <w:t>3</w:t>
      </w:r>
      <w:r>
        <w:fldChar w:fldCharType="end"/>
      </w:r>
      <w:r>
        <w:rPr>
          <w:rFonts w:hint="eastAsia"/>
        </w:rPr>
        <w:t>5</w:t>
      </w:r>
    </w:p>
    <w:p>
      <w:pPr>
        <w:pStyle w:val="11"/>
        <w:rPr>
          <w:rFonts w:ascii="仿宋" w:hAnsi="仿宋" w:eastAsia="仿宋" w:cs="黑体"/>
          <w:sz w:val="28"/>
          <w:szCs w:val="28"/>
        </w:rPr>
      </w:pPr>
      <w:r>
        <w:fldChar w:fldCharType="begin"/>
      </w:r>
      <w:r>
        <w:instrText xml:space="preserve">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rPr>
        <w:t>3</w:t>
      </w:r>
      <w:r>
        <w:fldChar w:fldCharType="end"/>
      </w:r>
      <w:r>
        <w:rPr>
          <w:rFonts w:hint="eastAsia" w:ascii="仿宋" w:hAnsi="仿宋" w:eastAsia="仿宋"/>
          <w:sz w:val="28"/>
          <w:szCs w:val="28"/>
        </w:rPr>
        <w:t>5</w:t>
      </w:r>
    </w:p>
    <w:p>
      <w:pPr>
        <w:pStyle w:val="10"/>
        <w:rPr>
          <w:rFonts w:cs="黑体"/>
        </w:rPr>
      </w:pPr>
      <w:r>
        <w:fldChar w:fldCharType="begin"/>
      </w:r>
      <w:r>
        <w:instrText xml:space="preserve">HYPERLINK  \l "_Toc15396618" </w:instrText>
      </w:r>
      <w:r>
        <w:fldChar w:fldCharType="separate"/>
      </w:r>
      <w:r>
        <w:rPr>
          <w:rStyle w:val="15"/>
          <w:rFonts w:hint="eastAsia"/>
        </w:rPr>
        <w:t>第</w:t>
      </w:r>
      <w:r>
        <w:rPr>
          <w:rStyle w:val="15"/>
          <w:rFonts w:hint="eastAsia"/>
          <w:bCs/>
          <w:kern w:val="44"/>
        </w:rPr>
        <w:t>五部分附表</w:t>
      </w:r>
      <w:r>
        <w:tab/>
      </w:r>
      <w:r>
        <w:rPr>
          <w:rFonts w:hint="eastAsia"/>
        </w:rPr>
        <w:t>4</w:t>
      </w:r>
      <w:r>
        <w:fldChar w:fldCharType="end"/>
      </w:r>
      <w:r>
        <w:rPr>
          <w:rFonts w:hint="eastAsia"/>
        </w:rPr>
        <w:t>0</w:t>
      </w:r>
    </w:p>
    <w:p>
      <w:pPr>
        <w:pStyle w:val="11"/>
        <w:rPr>
          <w:rFonts w:ascii="仿宋" w:hAnsi="仿宋" w:eastAsia="仿宋" w:cs="黑体"/>
          <w:sz w:val="28"/>
          <w:szCs w:val="28"/>
        </w:rPr>
      </w:pPr>
      <w:r>
        <w:rPr>
          <w:rFonts w:hint="eastAsia" w:ascii="仿宋" w:hAnsi="仿宋" w:eastAsia="仿宋"/>
          <w:sz w:val="28"/>
          <w:szCs w:val="28"/>
        </w:rPr>
        <w:t>一、</w:t>
      </w:r>
      <w:r>
        <w:fldChar w:fldCharType="begin"/>
      </w:r>
      <w:r>
        <w:instrText xml:space="preserve">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rPr>
        <w:t>4</w:t>
      </w:r>
      <w:r>
        <w:fldChar w:fldCharType="end"/>
      </w:r>
      <w:r>
        <w:rPr>
          <w:rFonts w:hint="eastAsia" w:ascii="仿宋" w:hAnsi="仿宋" w:eastAsia="仿宋"/>
          <w:sz w:val="28"/>
          <w:szCs w:val="28"/>
        </w:rPr>
        <w:t>0</w:t>
      </w:r>
    </w:p>
    <w:p>
      <w:pPr>
        <w:pStyle w:val="11"/>
        <w:rPr>
          <w:rFonts w:ascii="仿宋" w:hAnsi="仿宋" w:eastAsia="仿宋" w:cs="黑体"/>
          <w:sz w:val="28"/>
          <w:szCs w:val="28"/>
        </w:rPr>
      </w:pPr>
      <w:r>
        <w:rPr>
          <w:rFonts w:hint="eastAsia" w:ascii="仿宋" w:hAnsi="仿宋" w:eastAsia="仿宋"/>
          <w:sz w:val="28"/>
          <w:szCs w:val="28"/>
        </w:rPr>
        <w:t>二、</w:t>
      </w:r>
      <w:r>
        <w:fldChar w:fldCharType="begin"/>
      </w:r>
      <w:r>
        <w:instrText xml:space="preserve">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rPr>
        <w:t>4</w:t>
      </w:r>
      <w:r>
        <w:fldChar w:fldCharType="end"/>
      </w:r>
      <w:r>
        <w:rPr>
          <w:rFonts w:hint="eastAsia" w:ascii="仿宋" w:hAnsi="仿宋" w:eastAsia="仿宋"/>
          <w:sz w:val="28"/>
          <w:szCs w:val="28"/>
        </w:rPr>
        <w:t>0</w:t>
      </w:r>
    </w:p>
    <w:p>
      <w:pPr>
        <w:pStyle w:val="11"/>
        <w:rPr>
          <w:rFonts w:ascii="仿宋" w:hAnsi="仿宋" w:eastAsia="仿宋" w:cs="黑体"/>
          <w:sz w:val="28"/>
          <w:szCs w:val="28"/>
        </w:rPr>
      </w:pPr>
      <w:r>
        <w:rPr>
          <w:rFonts w:hint="eastAsia" w:ascii="仿宋" w:hAnsi="仿宋" w:eastAsia="仿宋"/>
          <w:sz w:val="28"/>
          <w:szCs w:val="28"/>
        </w:rPr>
        <w:t>三、</w:t>
      </w:r>
      <w:r>
        <w:fldChar w:fldCharType="begin"/>
      </w:r>
      <w:r>
        <w:instrText xml:space="preserve">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4</w:t>
      </w:r>
      <w:r>
        <w:rPr>
          <w:rFonts w:hint="eastAsia" w:ascii="仿宋" w:hAnsi="仿宋" w:eastAsia="仿宋"/>
          <w:sz w:val="28"/>
          <w:szCs w:val="28"/>
        </w:rPr>
        <w:t>0</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四、</w:t>
      </w:r>
      <w:r>
        <w:fldChar w:fldCharType="begin"/>
      </w:r>
      <w:r>
        <w:instrText xml:space="preserve">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4</w:t>
      </w:r>
      <w:r>
        <w:rPr>
          <w:rFonts w:hint="eastAsia" w:ascii="仿宋" w:hAnsi="仿宋" w:eastAsia="仿宋"/>
          <w:sz w:val="28"/>
          <w:szCs w:val="28"/>
        </w:rPr>
        <w:t>0</w:t>
      </w:r>
      <w:r>
        <w:rPr>
          <w:rFonts w:ascii="仿宋" w:hAnsi="仿宋" w:eastAsia="仿宋"/>
          <w:sz w:val="28"/>
          <w:szCs w:val="28"/>
        </w:rPr>
        <w:fldChar w:fldCharType="end"/>
      </w:r>
      <w: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rPr>
        <w:t>4</w:t>
      </w:r>
      <w:r>
        <w:fldChar w:fldCharType="end"/>
      </w:r>
      <w:r>
        <w:rPr>
          <w:rFonts w:hint="eastAsia" w:ascii="仿宋" w:hAnsi="仿宋" w:eastAsia="仿宋"/>
          <w:sz w:val="28"/>
          <w:szCs w:val="28"/>
        </w:rPr>
        <w:t>0</w:t>
      </w:r>
    </w:p>
    <w:p>
      <w:pPr>
        <w:pStyle w:val="11"/>
        <w:rPr>
          <w:rFonts w:ascii="仿宋" w:hAnsi="仿宋" w:eastAsia="仿宋" w:cs="黑体"/>
          <w:sz w:val="28"/>
          <w:szCs w:val="28"/>
        </w:rPr>
      </w:pPr>
      <w:r>
        <w:rPr>
          <w:rFonts w:hint="eastAsia" w:ascii="仿宋" w:hAnsi="仿宋" w:eastAsia="仿宋"/>
          <w:sz w:val="28"/>
          <w:szCs w:val="28"/>
        </w:rPr>
        <w:t>六、</w:t>
      </w:r>
      <w:r>
        <w:fldChar w:fldCharType="begin"/>
      </w:r>
      <w:r>
        <w:instrText xml:space="preserve">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rPr>
        <w:t>4</w:t>
      </w:r>
      <w:r>
        <w:fldChar w:fldCharType="end"/>
      </w:r>
      <w:r>
        <w:rPr>
          <w:rFonts w:hint="eastAsia" w:ascii="仿宋" w:hAnsi="仿宋" w:eastAsia="仿宋"/>
          <w:sz w:val="28"/>
          <w:szCs w:val="28"/>
        </w:rPr>
        <w:t>0</w:t>
      </w:r>
    </w:p>
    <w:p>
      <w:pPr>
        <w:pStyle w:val="11"/>
        <w:rPr>
          <w:rFonts w:ascii="仿宋" w:hAnsi="仿宋" w:eastAsia="仿宋" w:cs="黑体"/>
          <w:sz w:val="28"/>
          <w:szCs w:val="28"/>
        </w:rPr>
      </w:pPr>
      <w:r>
        <w:rPr>
          <w:rFonts w:hint="eastAsia" w:ascii="仿宋" w:hAnsi="仿宋" w:eastAsia="仿宋"/>
          <w:sz w:val="28"/>
          <w:szCs w:val="28"/>
        </w:rPr>
        <w:t>七、</w:t>
      </w:r>
      <w:r>
        <w:fldChar w:fldCharType="begin"/>
      </w:r>
      <w:r>
        <w:instrText xml:space="preserve">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rPr>
        <w:t>4</w:t>
      </w:r>
      <w:r>
        <w:fldChar w:fldCharType="end"/>
      </w:r>
      <w:r>
        <w:rPr>
          <w:rFonts w:hint="eastAsia" w:ascii="仿宋" w:hAnsi="仿宋" w:eastAsia="仿宋"/>
          <w:sz w:val="28"/>
          <w:szCs w:val="28"/>
        </w:rPr>
        <w:t>0</w:t>
      </w:r>
    </w:p>
    <w:p>
      <w:pPr>
        <w:pStyle w:val="11"/>
        <w:rPr>
          <w:rFonts w:ascii="仿宋" w:hAnsi="仿宋" w:eastAsia="仿宋" w:cs="黑体"/>
          <w:sz w:val="28"/>
          <w:szCs w:val="28"/>
        </w:rPr>
      </w:pPr>
      <w:r>
        <w:rPr>
          <w:rFonts w:hint="eastAsia" w:ascii="仿宋" w:hAnsi="仿宋" w:eastAsia="仿宋"/>
          <w:sz w:val="28"/>
          <w:szCs w:val="28"/>
        </w:rPr>
        <w:t>八、</w:t>
      </w:r>
      <w:r>
        <w:fldChar w:fldCharType="begin"/>
      </w:r>
      <w:r>
        <w:instrText xml:space="preserve">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rPr>
        <w:t>4</w:t>
      </w:r>
      <w:r>
        <w:fldChar w:fldCharType="end"/>
      </w:r>
      <w:r>
        <w:rPr>
          <w:rFonts w:hint="eastAsia" w:ascii="仿宋" w:hAnsi="仿宋" w:eastAsia="仿宋"/>
          <w:sz w:val="28"/>
          <w:szCs w:val="28"/>
        </w:rPr>
        <w:t>0</w:t>
      </w:r>
    </w:p>
    <w:p>
      <w:pPr>
        <w:pStyle w:val="11"/>
        <w:rPr>
          <w:rFonts w:ascii="仿宋" w:hAnsi="仿宋" w:eastAsia="仿宋" w:cs="黑体"/>
          <w:sz w:val="28"/>
          <w:szCs w:val="28"/>
        </w:rPr>
      </w:pPr>
      <w:r>
        <w:rPr>
          <w:rFonts w:hint="eastAsia" w:ascii="仿宋" w:hAnsi="仿宋" w:eastAsia="仿宋"/>
          <w:sz w:val="28"/>
          <w:szCs w:val="28"/>
        </w:rPr>
        <w:t>九、</w:t>
      </w:r>
      <w:r>
        <w:fldChar w:fldCharType="begin"/>
      </w:r>
      <w:r>
        <w:instrText xml:space="preserve">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rPr>
        <w:t>4</w:t>
      </w:r>
      <w:r>
        <w:fldChar w:fldCharType="end"/>
      </w:r>
      <w:r>
        <w:rPr>
          <w:rFonts w:hint="eastAsia" w:ascii="仿宋" w:hAnsi="仿宋" w:eastAsia="仿宋"/>
          <w:sz w:val="28"/>
          <w:szCs w:val="28"/>
        </w:rPr>
        <w:t>0</w:t>
      </w:r>
    </w:p>
    <w:p>
      <w:pPr>
        <w:pStyle w:val="11"/>
        <w:rPr>
          <w:rFonts w:ascii="仿宋" w:hAnsi="仿宋" w:eastAsia="仿宋" w:cs="黑体"/>
          <w:sz w:val="28"/>
          <w:szCs w:val="28"/>
        </w:rPr>
      </w:pPr>
      <w:r>
        <w:rPr>
          <w:rFonts w:hint="eastAsia" w:ascii="仿宋" w:hAnsi="仿宋" w:eastAsia="仿宋"/>
          <w:sz w:val="28"/>
          <w:szCs w:val="28"/>
        </w:rPr>
        <w:t>十、</w:t>
      </w:r>
      <w:r>
        <w:fldChar w:fldCharType="begin"/>
      </w:r>
      <w:r>
        <w:instrText xml:space="preserve">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rPr>
        <w:t>4</w:t>
      </w:r>
      <w:r>
        <w:fldChar w:fldCharType="end"/>
      </w:r>
      <w:r>
        <w:rPr>
          <w:rFonts w:hint="eastAsia" w:ascii="仿宋" w:hAnsi="仿宋" w:eastAsia="仿宋"/>
          <w:sz w:val="28"/>
          <w:szCs w:val="28"/>
        </w:rPr>
        <w:t>0</w:t>
      </w:r>
    </w:p>
    <w:p>
      <w:pPr>
        <w:pStyle w:val="11"/>
        <w:rPr>
          <w:rFonts w:ascii="仿宋" w:hAnsi="仿宋" w:eastAsia="仿宋" w:cs="黑体"/>
          <w:sz w:val="28"/>
          <w:szCs w:val="28"/>
        </w:rPr>
      </w:pPr>
      <w:r>
        <w:rPr>
          <w:rFonts w:hint="eastAsia" w:ascii="仿宋" w:hAnsi="仿宋" w:eastAsia="仿宋"/>
          <w:sz w:val="28"/>
          <w:szCs w:val="28"/>
        </w:rPr>
        <w:t>十一、</w:t>
      </w:r>
      <w:r>
        <w:fldChar w:fldCharType="begin"/>
      </w:r>
      <w:r>
        <w:instrText xml:space="preserve">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rPr>
        <w:t>4</w:t>
      </w:r>
      <w:r>
        <w:fldChar w:fldCharType="end"/>
      </w:r>
      <w:r>
        <w:rPr>
          <w:rFonts w:hint="eastAsia" w:ascii="仿宋" w:hAnsi="仿宋" w:eastAsia="仿宋"/>
          <w:sz w:val="28"/>
          <w:szCs w:val="28"/>
        </w:rPr>
        <w:t>0</w:t>
      </w:r>
    </w:p>
    <w:p>
      <w:pPr>
        <w:pStyle w:val="11"/>
        <w:rPr>
          <w:rFonts w:ascii="仿宋" w:hAnsi="仿宋" w:eastAsia="仿宋" w:cs="黑体"/>
          <w:sz w:val="28"/>
          <w:szCs w:val="28"/>
        </w:rPr>
      </w:pPr>
      <w:r>
        <w:rPr>
          <w:rFonts w:hint="eastAsia" w:ascii="仿宋" w:hAnsi="仿宋" w:eastAsia="仿宋"/>
          <w:sz w:val="28"/>
          <w:szCs w:val="28"/>
        </w:rPr>
        <w:t>十二、</w:t>
      </w:r>
      <w:r>
        <w:fldChar w:fldCharType="begin"/>
      </w:r>
      <w:r>
        <w:instrText xml:space="preserve">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rPr>
        <w:t>4</w:t>
      </w:r>
      <w:r>
        <w:fldChar w:fldCharType="end"/>
      </w:r>
      <w:r>
        <w:rPr>
          <w:rFonts w:hint="eastAsia" w:ascii="仿宋" w:hAnsi="仿宋" w:eastAsia="仿宋"/>
          <w:sz w:val="28"/>
          <w:szCs w:val="28"/>
        </w:rPr>
        <w:t>0</w:t>
      </w:r>
    </w:p>
    <w:p>
      <w:pPr>
        <w:pStyle w:val="11"/>
        <w:rPr>
          <w:rFonts w:ascii="仿宋" w:hAnsi="仿宋" w:eastAsia="仿宋" w:cs="黑体"/>
          <w:sz w:val="24"/>
        </w:rPr>
      </w:pPr>
      <w:r>
        <w:rPr>
          <w:rFonts w:hint="eastAsia" w:ascii="仿宋" w:hAnsi="仿宋" w:eastAsia="仿宋"/>
          <w:sz w:val="28"/>
          <w:szCs w:val="28"/>
        </w:rPr>
        <w:t>十三、</w:t>
      </w:r>
      <w:r>
        <w:fldChar w:fldCharType="begin"/>
      </w:r>
      <w:r>
        <w:instrText xml:space="preserve">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hint="eastAsia" w:ascii="仿宋" w:hAnsi="仿宋" w:eastAsia="仿宋"/>
          <w:sz w:val="28"/>
          <w:szCs w:val="28"/>
        </w:rPr>
        <w:t>4</w:t>
      </w:r>
      <w:r>
        <w:fldChar w:fldCharType="end"/>
      </w:r>
      <w:r>
        <w:rPr>
          <w:rFonts w:hint="eastAsia" w:ascii="仿宋" w:hAnsi="仿宋" w:eastAsia="仿宋"/>
          <w:sz w:val="28"/>
          <w:szCs w:val="28"/>
        </w:rPr>
        <w:t>0</w:t>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7"/>
          <w:rFonts w:ascii="黑体" w:hAnsi="黑体" w:eastAsia="黑体"/>
          <w:b/>
          <w:bCs w:val="0"/>
        </w:rPr>
      </w:pPr>
      <w:r>
        <w:rPr>
          <w:rFonts w:hint="eastAsia" w:ascii="黑体" w:hAnsi="黑体" w:eastAsia="黑体"/>
          <w:b w:val="0"/>
        </w:rPr>
        <w:t xml:space="preserve">第一部分 </w:t>
      </w:r>
      <w:r>
        <w:rPr>
          <w:rStyle w:val="27"/>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8"/>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8"/>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cs="楷体_GB2312"/>
          <w:color w:val="000000"/>
          <w:kern w:val="2"/>
          <w:sz w:val="32"/>
          <w:szCs w:val="32"/>
        </w:rPr>
      </w:pPr>
      <w:bookmarkStart w:id="16" w:name="_Toc15377198"/>
      <w:bookmarkStart w:id="17" w:name="_Toc15378445"/>
      <w:r>
        <w:rPr>
          <w:rFonts w:hint="eastAsia" w:ascii="仿宋" w:hAnsi="仿宋" w:eastAsia="仿宋" w:cs="楷体_GB2312"/>
          <w:color w:val="000000"/>
          <w:kern w:val="2"/>
          <w:sz w:val="32"/>
          <w:szCs w:val="32"/>
        </w:rPr>
        <w:t>（一）主要职能。</w:t>
      </w:r>
      <w:bookmarkEnd w:id="16"/>
      <w:bookmarkEnd w:id="17"/>
    </w:p>
    <w:p>
      <w:pPr>
        <w:spacing w:line="580" w:lineRule="exact"/>
        <w:ind w:left="640"/>
        <w:rPr>
          <w:rFonts w:ascii="仿宋" w:hAnsi="仿宋" w:eastAsia="仿宋" w:cs="楷体_GB2312"/>
          <w:color w:val="000000"/>
          <w:sz w:val="32"/>
          <w:szCs w:val="32"/>
        </w:rPr>
      </w:pPr>
      <w:r>
        <w:rPr>
          <w:rFonts w:hint="eastAsia" w:ascii="仿宋" w:hAnsi="仿宋" w:eastAsia="仿宋" w:cs="楷体_GB2312"/>
          <w:color w:val="000000"/>
          <w:sz w:val="32"/>
          <w:szCs w:val="32"/>
        </w:rPr>
        <w:t>1、机构职能</w:t>
      </w:r>
    </w:p>
    <w:p>
      <w:pPr>
        <w:spacing w:line="580" w:lineRule="exact"/>
        <w:ind w:firstLine="640" w:firstLineChars="200"/>
        <w:rPr>
          <w:rFonts w:ascii="仿宋" w:hAnsi="仿宋" w:eastAsia="仿宋" w:cs="楷体_GB2312"/>
          <w:color w:val="000000"/>
          <w:sz w:val="32"/>
          <w:szCs w:val="32"/>
        </w:rPr>
      </w:pPr>
      <w:r>
        <w:rPr>
          <w:rFonts w:hint="eastAsia" w:ascii="仿宋" w:hAnsi="仿宋" w:eastAsia="仿宋" w:cs="楷体_GB2312"/>
          <w:color w:val="000000"/>
          <w:sz w:val="32"/>
          <w:szCs w:val="32"/>
        </w:rPr>
        <w:t>镇党委政府的主要职能是：落实政策、促进发展、维护稳定、加强管理、提供服务五个方面。贯彻执行党的路线、方针、政策，讨论决定本镇经济建设和社会发展等重大问题；领导各部门和群众组织，依照国家法律法规及各自章程行使职权；加强镇党委自身建设和村居组织建设；按照干部管理权限，负责对干部的教育、培养、选拔和监督工作；密切联系群众，为全镇农村经济和社会发展服好务。</w:t>
      </w:r>
    </w:p>
    <w:p>
      <w:pPr>
        <w:spacing w:line="580" w:lineRule="exact"/>
        <w:ind w:left="640"/>
        <w:rPr>
          <w:rFonts w:ascii="仿宋" w:hAnsi="仿宋" w:eastAsia="仿宋" w:cs="楷体_GB2312"/>
          <w:color w:val="000000"/>
          <w:sz w:val="32"/>
          <w:szCs w:val="32"/>
        </w:rPr>
      </w:pPr>
      <w:r>
        <w:rPr>
          <w:rFonts w:hint="eastAsia" w:ascii="仿宋" w:hAnsi="仿宋" w:eastAsia="仿宋" w:cs="楷体_GB2312"/>
          <w:color w:val="000000"/>
          <w:sz w:val="32"/>
          <w:szCs w:val="32"/>
        </w:rPr>
        <w:t>2、机构组成</w:t>
      </w:r>
    </w:p>
    <w:p>
      <w:pPr>
        <w:spacing w:line="580" w:lineRule="exact"/>
        <w:ind w:firstLine="640" w:firstLineChars="200"/>
        <w:rPr>
          <w:rFonts w:ascii="仿宋" w:hAnsi="仿宋" w:eastAsia="仿宋" w:cs="楷体_GB2312"/>
          <w:color w:val="000000"/>
          <w:sz w:val="32"/>
          <w:szCs w:val="32"/>
        </w:rPr>
      </w:pPr>
      <w:r>
        <w:rPr>
          <w:rFonts w:hint="eastAsia" w:ascii="仿宋" w:hAnsi="仿宋" w:eastAsia="仿宋" w:cs="楷体_GB2312"/>
          <w:color w:val="000000"/>
          <w:sz w:val="32"/>
          <w:szCs w:val="32"/>
        </w:rPr>
        <w:t>根据县编委《关于乡镇机关事业单位机构设置人员编制和领导职数核定及职能分解的通知》（三编发[2007]74号）文件，争胜镇设置党政办公室、经济发展办公室、社会事务和计划生育办公室3个内设机构。设置农业服务中心、社会事务服务中心，为镇管理的核定收支、定额补助独立法人事业单位。现有核算单位为中共争胜镇委员会、争胜镇人大、争胜镇人民政府三个行政单位，三台县争胜镇农业服务中心、三台县争胜镇社会事务服务中心、三台县争胜镇敬老院三个事业机构。</w:t>
      </w:r>
    </w:p>
    <w:p>
      <w:pPr>
        <w:spacing w:line="580" w:lineRule="exact"/>
        <w:ind w:firstLine="640" w:firstLineChars="200"/>
        <w:rPr>
          <w:rFonts w:ascii="仿宋" w:hAnsi="仿宋" w:eastAsia="仿宋" w:cs="楷体_GB2312"/>
          <w:color w:val="000000"/>
          <w:sz w:val="32"/>
          <w:szCs w:val="32"/>
        </w:rPr>
      </w:pPr>
      <w:r>
        <w:rPr>
          <w:rFonts w:hint="eastAsia" w:ascii="仿宋" w:hAnsi="仿宋" w:eastAsia="仿宋" w:cs="楷体_GB2312"/>
          <w:color w:val="000000"/>
          <w:sz w:val="32"/>
          <w:szCs w:val="32"/>
        </w:rPr>
        <w:t>3、人员情况</w:t>
      </w:r>
    </w:p>
    <w:p>
      <w:pPr>
        <w:spacing w:line="580" w:lineRule="exact"/>
        <w:ind w:firstLine="640" w:firstLineChars="200"/>
        <w:rPr>
          <w:rFonts w:ascii="仿宋" w:hAnsi="仿宋" w:eastAsia="仿宋" w:cs="楷体_GB2312"/>
          <w:color w:val="000000"/>
          <w:sz w:val="32"/>
          <w:szCs w:val="32"/>
        </w:rPr>
      </w:pPr>
      <w:r>
        <w:rPr>
          <w:rFonts w:hint="eastAsia" w:ascii="仿宋" w:hAnsi="仿宋" w:eastAsia="仿宋" w:cs="楷体_GB2312"/>
          <w:color w:val="000000"/>
          <w:sz w:val="32"/>
          <w:szCs w:val="32"/>
        </w:rPr>
        <w:t>全镇共有行政编制13个，行政工勤编制1个，事业编制6个，编制合计20个；2018年底共有在编在职人员18人，其中行政12人，行政工勤1人，事业5人。现有行政退休人员7人。县级派驻机构有畜牧站2人、林业站1人、广播站1人、水利站1人。</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spacing w:line="580" w:lineRule="exact"/>
        <w:ind w:firstLine="640" w:firstLineChars="200"/>
        <w:rPr>
          <w:rFonts w:ascii="仿宋" w:hAnsi="仿宋" w:eastAsia="仿宋" w:cs="楷体_GB2312"/>
          <w:color w:val="000000"/>
          <w:sz w:val="32"/>
          <w:szCs w:val="32"/>
        </w:rPr>
      </w:pPr>
      <w:bookmarkStart w:id="20" w:name="_Toc15377200"/>
      <w:bookmarkStart w:id="21" w:name="_Toc15396601"/>
      <w:r>
        <w:rPr>
          <w:rFonts w:hint="eastAsia" w:ascii="仿宋" w:hAnsi="仿宋" w:eastAsia="仿宋" w:cs="楷体_GB2312"/>
          <w:color w:val="000000"/>
          <w:sz w:val="32"/>
          <w:szCs w:val="32"/>
        </w:rPr>
        <w:t>1、保障镇人民政府正常运转。2、保障辖区内的稳定。3、确保国家民生项目及资金的全面准确落实到位。4、确保社会保障和就业方面的正常开支。5、确保辖区环境的不断改善。</w:t>
      </w:r>
      <w:r>
        <w:rPr>
          <w:rFonts w:ascii="仿宋" w:hAnsi="仿宋" w:eastAsia="仿宋" w:cs="楷体_GB2312"/>
          <w:color w:val="000000"/>
          <w:sz w:val="32"/>
          <w:szCs w:val="32"/>
        </w:rPr>
        <w:t>6</w:t>
      </w:r>
      <w:r>
        <w:rPr>
          <w:rFonts w:hint="eastAsia" w:ascii="仿宋" w:hAnsi="仿宋" w:eastAsia="仿宋" w:cs="楷体_GB2312"/>
          <w:color w:val="000000"/>
          <w:sz w:val="32"/>
          <w:szCs w:val="32"/>
        </w:rPr>
        <w:t>、保障辖区内城乡社区事务、农林水事务、交通运输等的正常开展。</w:t>
      </w:r>
      <w:r>
        <w:rPr>
          <w:rFonts w:ascii="仿宋" w:hAnsi="仿宋" w:eastAsia="仿宋" w:cs="楷体_GB2312"/>
          <w:color w:val="000000"/>
          <w:sz w:val="32"/>
          <w:szCs w:val="32"/>
        </w:rPr>
        <w:t>7</w:t>
      </w:r>
      <w:r>
        <w:rPr>
          <w:rFonts w:hint="eastAsia" w:ascii="仿宋" w:hAnsi="仿宋" w:eastAsia="仿宋" w:cs="楷体_GB2312"/>
          <w:color w:val="000000"/>
          <w:sz w:val="32"/>
          <w:szCs w:val="32"/>
        </w:rPr>
        <w:t>、保障辖区内各项社会事业的向前发展。</w:t>
      </w:r>
    </w:p>
    <w:p>
      <w:pPr>
        <w:pStyle w:val="3"/>
        <w:rPr>
          <w:rStyle w:val="28"/>
          <w:b w:val="0"/>
          <w:bCs w:val="0"/>
        </w:rPr>
      </w:pPr>
      <w:r>
        <w:rPr>
          <w:rFonts w:hint="eastAsia" w:ascii="黑体" w:eastAsia="黑体"/>
          <w:b w:val="0"/>
          <w:color w:val="000000"/>
        </w:rPr>
        <w:t>二、</w:t>
      </w:r>
      <w:r>
        <w:rPr>
          <w:rFonts w:hint="eastAsia" w:ascii="黑体" w:hAnsi="黑体" w:eastAsia="黑体"/>
          <w:b w:val="0"/>
          <w:color w:val="000000"/>
        </w:rPr>
        <w:t>机</w:t>
      </w:r>
      <w:r>
        <w:rPr>
          <w:rStyle w:val="28"/>
          <w:rFonts w:hint="eastAsia" w:ascii="黑体" w:hAnsi="黑体" w:eastAsia="黑体"/>
          <w:b w:val="0"/>
          <w:bCs w:val="0"/>
        </w:rPr>
        <w:t>构设置</w:t>
      </w:r>
      <w:bookmarkEnd w:id="20"/>
      <w:bookmarkEnd w:id="21"/>
    </w:p>
    <w:p>
      <w:pPr>
        <w:spacing w:line="580" w:lineRule="exact"/>
        <w:ind w:firstLine="640" w:firstLineChars="200"/>
        <w:rPr>
          <w:rFonts w:ascii="仿宋" w:hAnsi="仿宋" w:eastAsia="仿宋" w:cs="楷体_GB2312"/>
          <w:color w:val="000000"/>
          <w:sz w:val="32"/>
          <w:szCs w:val="32"/>
        </w:rPr>
      </w:pPr>
      <w:r>
        <w:rPr>
          <w:rFonts w:hint="eastAsia" w:ascii="仿宋" w:hAnsi="仿宋" w:eastAsia="仿宋" w:cs="楷体_GB2312"/>
          <w:color w:val="000000"/>
          <w:sz w:val="32"/>
          <w:szCs w:val="32"/>
        </w:rPr>
        <w:t>争胜镇为一级预算单位，无下属二级预算单位。</w:t>
      </w:r>
    </w:p>
    <w:p>
      <w:pPr>
        <w:widowControl/>
        <w:jc w:val="left"/>
        <w:rPr>
          <w:rFonts w:ascii="仿宋" w:hAnsi="仿宋" w:eastAsia="仿宋"/>
          <w:color w:val="000000"/>
          <w:sz w:val="32"/>
          <w:szCs w:val="32"/>
        </w:rPr>
      </w:pPr>
    </w:p>
    <w:p>
      <w:pPr>
        <w:widowControl/>
        <w:jc w:val="left"/>
        <w:rPr>
          <w:rFonts w:ascii="仿宋" w:hAnsi="仿宋" w:eastAsia="仿宋"/>
          <w:color w:val="000000"/>
          <w:sz w:val="32"/>
          <w:szCs w:val="32"/>
        </w:rPr>
      </w:pPr>
    </w:p>
    <w:p>
      <w:pPr>
        <w:widowControl/>
        <w:jc w:val="left"/>
        <w:rPr>
          <w:rFonts w:ascii="仿宋" w:hAnsi="仿宋" w:eastAsia="仿宋"/>
          <w:color w:val="000000"/>
          <w:sz w:val="32"/>
          <w:szCs w:val="32"/>
        </w:rPr>
      </w:pPr>
    </w:p>
    <w:p>
      <w:pPr>
        <w:widowControl/>
        <w:jc w:val="left"/>
        <w:rPr>
          <w:rFonts w:ascii="仿宋" w:hAnsi="仿宋" w:eastAsia="仿宋"/>
          <w:color w:val="000000"/>
          <w:sz w:val="32"/>
          <w:szCs w:val="32"/>
        </w:rPr>
      </w:pPr>
    </w:p>
    <w:p>
      <w:pPr>
        <w:widowControl/>
        <w:jc w:val="left"/>
        <w:rPr>
          <w:rFonts w:ascii="仿宋" w:hAnsi="仿宋" w:eastAsia="仿宋"/>
          <w:color w:val="000000"/>
          <w:sz w:val="32"/>
          <w:szCs w:val="32"/>
        </w:rPr>
      </w:pPr>
    </w:p>
    <w:p>
      <w:pPr>
        <w:widowControl/>
        <w:jc w:val="left"/>
        <w:rPr>
          <w:rFonts w:ascii="仿宋" w:hAnsi="仿宋" w:eastAsia="仿宋"/>
          <w:color w:val="000000"/>
          <w:sz w:val="32"/>
          <w:szCs w:val="32"/>
        </w:rPr>
      </w:pPr>
    </w:p>
    <w:p>
      <w:pPr>
        <w:widowControl/>
        <w:jc w:val="left"/>
        <w:rPr>
          <w:rFonts w:ascii="仿宋" w:hAnsi="仿宋" w:eastAsia="仿宋"/>
          <w:color w:val="000000"/>
          <w:sz w:val="32"/>
          <w:szCs w:val="32"/>
        </w:rPr>
      </w:pPr>
    </w:p>
    <w:p>
      <w:pPr>
        <w:widowControl/>
        <w:jc w:val="left"/>
        <w:rPr>
          <w:rFonts w:ascii="仿宋" w:hAnsi="仿宋" w:eastAsia="仿宋"/>
          <w:color w:val="000000"/>
          <w:sz w:val="32"/>
          <w:szCs w:val="32"/>
        </w:rPr>
      </w:pPr>
    </w:p>
    <w:p>
      <w:pPr>
        <w:widowControl/>
        <w:jc w:val="left"/>
        <w:rPr>
          <w:rFonts w:ascii="仿宋" w:hAnsi="仿宋" w:eastAsia="仿宋"/>
          <w:color w:val="000000"/>
          <w:sz w:val="32"/>
          <w:szCs w:val="32"/>
        </w:rPr>
      </w:pPr>
    </w:p>
    <w:p>
      <w:pPr>
        <w:widowControl/>
        <w:jc w:val="left"/>
        <w:rPr>
          <w:rFonts w:ascii="仿宋" w:hAnsi="仿宋" w:eastAsia="仿宋"/>
          <w:color w:val="000000"/>
          <w:sz w:val="32"/>
          <w:szCs w:val="32"/>
        </w:rPr>
      </w:pPr>
    </w:p>
    <w:p>
      <w:pPr>
        <w:widowControl/>
        <w:jc w:val="left"/>
        <w:rPr>
          <w:rFonts w:ascii="仿宋" w:hAnsi="仿宋" w:eastAsia="仿宋"/>
          <w:color w:val="000000"/>
          <w:sz w:val="32"/>
          <w:szCs w:val="32"/>
        </w:rPr>
      </w:pPr>
    </w:p>
    <w:p>
      <w:pPr>
        <w:widowControl/>
        <w:jc w:val="left"/>
        <w:rPr>
          <w:rFonts w:ascii="仿宋" w:hAnsi="仿宋" w:eastAsia="仿宋"/>
          <w:color w:val="000000"/>
          <w:sz w:val="32"/>
          <w:szCs w:val="32"/>
        </w:rPr>
      </w:pPr>
    </w:p>
    <w:p>
      <w:pPr>
        <w:widowControl/>
        <w:jc w:val="left"/>
        <w:rPr>
          <w:rFonts w:ascii="仿宋" w:hAnsi="仿宋" w:eastAsia="仿宋"/>
          <w:color w:val="000000"/>
          <w:sz w:val="32"/>
          <w:szCs w:val="32"/>
        </w:rPr>
      </w:pP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7"/>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Style w:val="27"/>
          <w:rFonts w:hint="eastAsia" w:ascii="黑体" w:hAnsi="黑体" w:eastAsia="黑体"/>
          <w:b w:val="0"/>
          <w:bCs w:val="0"/>
        </w:rPr>
        <w:t>2018年度部门决算情况说明</w:t>
      </w:r>
      <w:bookmarkEnd w:id="22"/>
      <w:bookmarkEnd w:id="23"/>
    </w:p>
    <w:p/>
    <w:p>
      <w:pPr>
        <w:pStyle w:val="18"/>
        <w:numPr>
          <w:ilvl w:val="0"/>
          <w:numId w:val="1"/>
        </w:numPr>
        <w:spacing w:line="600" w:lineRule="exact"/>
        <w:ind w:firstLineChars="0"/>
        <w:outlineLvl w:val="1"/>
        <w:rPr>
          <w:rStyle w:val="28"/>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8"/>
          <w:rFonts w:hint="eastAsia" w:ascii="黑体" w:hAnsi="黑体" w:eastAsia="黑体"/>
          <w:b w:val="0"/>
        </w:rPr>
        <w:t>入支出决算总体情况说明</w:t>
      </w:r>
      <w:bookmarkEnd w:id="24"/>
      <w:bookmarkEnd w:id="25"/>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sz w:val="32"/>
          <w:szCs w:val="32"/>
        </w:rPr>
        <w:t>2018年度收、支总计728.42万元。与2017年相比，收、支总计各增加5.48万元，增长0.75</w:t>
      </w:r>
      <w:r>
        <w:rPr>
          <w:rFonts w:ascii="仿宋" w:hAnsi="仿宋" w:eastAsia="仿宋"/>
          <w:color w:val="000000"/>
          <w:sz w:val="32"/>
          <w:szCs w:val="32"/>
        </w:rPr>
        <w:t>%</w:t>
      </w:r>
      <w:r>
        <w:rPr>
          <w:rFonts w:hint="eastAsia" w:ascii="仿宋" w:hAnsi="仿宋" w:eastAsia="仿宋"/>
          <w:color w:val="000000"/>
          <w:sz w:val="32"/>
          <w:szCs w:val="32"/>
        </w:rPr>
        <w:t>。主要变动原因是一般公共服务支出减少12.47万元，减少32.08</w:t>
      </w:r>
      <w:r>
        <w:rPr>
          <w:rFonts w:ascii="仿宋" w:hAnsi="仿宋" w:eastAsia="仿宋"/>
          <w:color w:val="000000"/>
          <w:sz w:val="32"/>
          <w:szCs w:val="32"/>
        </w:rPr>
        <w:t>%</w:t>
      </w:r>
      <w:r>
        <w:rPr>
          <w:rFonts w:hint="eastAsia" w:ascii="仿宋" w:hAnsi="仿宋" w:eastAsia="仿宋"/>
          <w:color w:val="000000"/>
          <w:sz w:val="32"/>
          <w:szCs w:val="32"/>
        </w:rPr>
        <w:t>；社会保障和就业支出增加27.25万元，增加16.41%，农林水支出增加30.4万元，增长13.29</w:t>
      </w:r>
      <w:r>
        <w:rPr>
          <w:rFonts w:ascii="仿宋" w:hAnsi="仿宋" w:eastAsia="仿宋"/>
          <w:color w:val="000000"/>
          <w:sz w:val="32"/>
          <w:szCs w:val="32"/>
        </w:rPr>
        <w:t>%</w:t>
      </w:r>
      <w:r>
        <w:rPr>
          <w:rFonts w:hint="eastAsia" w:ascii="仿宋" w:hAnsi="仿宋" w:eastAsia="仿宋"/>
          <w:color w:val="000000"/>
          <w:sz w:val="32"/>
          <w:szCs w:val="32"/>
        </w:rPr>
        <w:t>；住房保障支出减少0.5万元，减少了3.66%。</w:t>
      </w: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pStyle w:val="18"/>
        <w:numPr>
          <w:ilvl w:val="0"/>
          <w:numId w:val="1"/>
        </w:numPr>
        <w:spacing w:line="600" w:lineRule="exact"/>
        <w:ind w:firstLineChars="0"/>
        <w:outlineLvl w:val="1"/>
        <w:rPr>
          <w:rStyle w:val="28"/>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8"/>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8年本年收入合计728.42万元，其中：一般公共预算财政拨款收入728.42万元，占100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。；政府性基金预算财政拨款收入0万元，占0%；国有资本经营预算财政拨款收入0万元，占0%；事业收入0万元，占0%；经营收入0万元，占0%；附属单位上缴收入0万元，占0%；其他收入0万元，占0%。</w: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bookmarkStart w:id="75" w:name="_GoBack"/>
      <w:bookmarkEnd w:id="75"/>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420" w:firstLineChars="200"/>
        <w:rPr>
          <w:rFonts w:ascii="仿宋_GB2312" w:eastAsia="仿宋_GB2312"/>
          <w:color w:val="FF0000"/>
          <w:sz w:val="32"/>
          <w:szCs w:val="32"/>
        </w:rPr>
      </w:pPr>
    </w:p>
    <w:p>
      <w:pPr>
        <w:pStyle w:val="18"/>
        <w:numPr>
          <w:ilvl w:val="0"/>
          <w:numId w:val="1"/>
        </w:numPr>
        <w:spacing w:line="600" w:lineRule="exact"/>
        <w:ind w:firstLineChars="0"/>
        <w:outlineLvl w:val="1"/>
        <w:rPr>
          <w:rStyle w:val="28"/>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8"/>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8年本年支出合计728.42万元，其中：基本支出575.69万元，占79.03</w:t>
      </w:r>
      <w:r>
        <w:rPr>
          <w:rFonts w:ascii="仿宋" w:hAnsi="仿宋" w:eastAsia="仿宋"/>
          <w:color w:val="000000"/>
          <w:sz w:val="32"/>
          <w:szCs w:val="32"/>
        </w:rPr>
        <w:t>%</w:t>
      </w:r>
      <w:r>
        <w:rPr>
          <w:rFonts w:hint="eastAsia" w:ascii="仿宋" w:hAnsi="仿宋" w:eastAsia="仿宋"/>
          <w:color w:val="000000"/>
          <w:sz w:val="32"/>
          <w:szCs w:val="32"/>
        </w:rPr>
        <w:t>；项目支出152.74万元，占20.97</w:t>
      </w:r>
      <w:r>
        <w:rPr>
          <w:rFonts w:ascii="仿宋" w:hAnsi="仿宋" w:eastAsia="仿宋"/>
          <w:color w:val="000000"/>
          <w:sz w:val="32"/>
          <w:szCs w:val="32"/>
        </w:rPr>
        <w:t>%</w:t>
      </w:r>
      <w:r>
        <w:rPr>
          <w:rFonts w:hint="eastAsia" w:ascii="仿宋" w:hAnsi="仿宋" w:eastAsia="仿宋"/>
          <w:color w:val="000000"/>
          <w:sz w:val="32"/>
          <w:szCs w:val="32"/>
        </w:rPr>
        <w:t>；上缴上级支出0万元，占0%；经营支出0万元，占0%；对附属单位补助支出0万元，占0%。</w: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420" w:firstLineChars="200"/>
        <w:rPr>
          <w:rFonts w:ascii="仿宋_GB2312" w:eastAsia="仿宋_GB2312"/>
          <w:color w:val="FF0000"/>
          <w:sz w:val="32"/>
          <w:szCs w:val="32"/>
        </w:rPr>
      </w:pPr>
    </w:p>
    <w:p>
      <w:pPr>
        <w:spacing w:line="600" w:lineRule="exact"/>
        <w:ind w:firstLine="320" w:firstLineChars="100"/>
        <w:outlineLvl w:val="1"/>
        <w:rPr>
          <w:rStyle w:val="28"/>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30"/>
      <w:bookmarkEnd w:id="31"/>
    </w:p>
    <w:p>
      <w:pPr>
        <w:spacing w:line="600" w:lineRule="exact"/>
        <w:ind w:firstLine="640" w:firstLineChars="200"/>
        <w:rPr>
          <w:rFonts w:ascii="仿宋_GB2312" w:eastAsia="仿宋_GB2312"/>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8年财政拨款收、支总计728.42万元。与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7年相比，财政拨款收、支总计各增加5.48万元，增长0.75</w:t>
      </w:r>
      <w:r>
        <w:rPr>
          <w:rFonts w:ascii="仿宋" w:hAnsi="仿宋" w:eastAsia="仿宋"/>
          <w:color w:val="000000"/>
          <w:sz w:val="32"/>
          <w:szCs w:val="32"/>
        </w:rPr>
        <w:t>%</w:t>
      </w:r>
      <w:r>
        <w:rPr>
          <w:rFonts w:hint="eastAsia" w:ascii="仿宋" w:hAnsi="仿宋" w:eastAsia="仿宋"/>
          <w:color w:val="000000"/>
          <w:sz w:val="32"/>
          <w:szCs w:val="32"/>
        </w:rPr>
        <w:t>。主要变动原因是一般公共服务支出减少12.47万元，减少32.08</w:t>
      </w:r>
      <w:r>
        <w:rPr>
          <w:rFonts w:ascii="仿宋" w:hAnsi="仿宋" w:eastAsia="仿宋"/>
          <w:color w:val="000000"/>
          <w:sz w:val="32"/>
          <w:szCs w:val="32"/>
        </w:rPr>
        <w:t>%</w:t>
      </w:r>
      <w:r>
        <w:rPr>
          <w:rFonts w:hint="eastAsia" w:ascii="仿宋" w:hAnsi="仿宋" w:eastAsia="仿宋"/>
          <w:color w:val="000000"/>
          <w:sz w:val="32"/>
          <w:szCs w:val="32"/>
        </w:rPr>
        <w:t>；社会保障和就业支出增加27.25万元，增加16.41%，农林水支出增加30.4万元，增长13.29</w:t>
      </w:r>
      <w:r>
        <w:rPr>
          <w:rFonts w:ascii="仿宋" w:hAnsi="仿宋" w:eastAsia="仿宋"/>
          <w:color w:val="000000"/>
          <w:sz w:val="32"/>
          <w:szCs w:val="32"/>
        </w:rPr>
        <w:t>%</w:t>
      </w:r>
      <w:r>
        <w:rPr>
          <w:rFonts w:hint="eastAsia" w:ascii="仿宋" w:hAnsi="仿宋" w:eastAsia="仿宋"/>
          <w:color w:val="000000"/>
          <w:sz w:val="32"/>
          <w:szCs w:val="32"/>
        </w:rPr>
        <w:t>；住房保障支出减少0.5万元，减少了3.66%。</w:t>
      </w:r>
    </w:p>
    <w:p>
      <w:pPr>
        <w:spacing w:line="600" w:lineRule="exact"/>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rPr>
          <w:rFonts w:ascii="仿宋" w:hAnsi="仿宋" w:eastAsia="仿宋"/>
          <w:b/>
          <w:color w:val="00B050"/>
          <w:sz w:val="32"/>
          <w:szCs w:val="32"/>
        </w:rPr>
      </w:pPr>
    </w:p>
    <w:p>
      <w:pPr>
        <w:spacing w:line="600" w:lineRule="exact"/>
        <w:ind w:firstLine="640" w:firstLineChars="200"/>
        <w:outlineLvl w:val="1"/>
        <w:rPr>
          <w:rStyle w:val="28"/>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_GB2312" w:eastAsia="仿宋_GB2312"/>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8年一般公共预算财政拨款支出728.42万元，占本年支出合计的100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7年相比，一般公共预算财政拨款增加5.48万元，增长0.75</w:t>
      </w:r>
      <w:r>
        <w:rPr>
          <w:rFonts w:ascii="仿宋" w:hAnsi="仿宋" w:eastAsia="仿宋"/>
          <w:color w:val="000000"/>
          <w:sz w:val="32"/>
          <w:szCs w:val="32"/>
        </w:rPr>
        <w:t>%</w:t>
      </w:r>
      <w:r>
        <w:rPr>
          <w:rFonts w:hint="eastAsia" w:ascii="仿宋" w:hAnsi="仿宋" w:eastAsia="仿宋"/>
          <w:color w:val="000000"/>
          <w:sz w:val="32"/>
          <w:szCs w:val="32"/>
        </w:rPr>
        <w:t>。主要变动原因是主要变动原因是一般公共服务支出减少12.47万元，减少32.08</w:t>
      </w:r>
      <w:r>
        <w:rPr>
          <w:rFonts w:ascii="仿宋" w:hAnsi="仿宋" w:eastAsia="仿宋"/>
          <w:color w:val="000000"/>
          <w:sz w:val="32"/>
          <w:szCs w:val="32"/>
        </w:rPr>
        <w:t>%</w:t>
      </w:r>
      <w:r>
        <w:rPr>
          <w:rFonts w:hint="eastAsia" w:ascii="仿宋" w:hAnsi="仿宋" w:eastAsia="仿宋"/>
          <w:color w:val="000000"/>
          <w:sz w:val="32"/>
          <w:szCs w:val="32"/>
        </w:rPr>
        <w:t>；社会保障和就业支出增加27.25万元，增加16.41%，农林水支出增加30.4万元，增长13.29</w:t>
      </w:r>
      <w:r>
        <w:rPr>
          <w:rFonts w:ascii="仿宋" w:hAnsi="仿宋" w:eastAsia="仿宋"/>
          <w:color w:val="000000"/>
          <w:sz w:val="32"/>
          <w:szCs w:val="32"/>
        </w:rPr>
        <w:t>%</w:t>
      </w:r>
      <w:r>
        <w:rPr>
          <w:rFonts w:hint="eastAsia" w:ascii="仿宋" w:hAnsi="仿宋" w:eastAsia="仿宋"/>
          <w:color w:val="000000"/>
          <w:sz w:val="32"/>
          <w:szCs w:val="32"/>
        </w:rPr>
        <w:t>；住房保障支出减少0.5万元，减少了3.66%。</w:t>
      </w:r>
    </w:p>
    <w:p>
      <w:pPr>
        <w:spacing w:line="600" w:lineRule="exact"/>
        <w:ind w:firstLine="420" w:firstLineChars="200"/>
        <w:outlineLvl w:val="2"/>
        <w:rPr>
          <w:rFonts w:ascii="仿宋" w:hAnsi="仿宋" w:eastAsia="仿宋"/>
          <w:b/>
          <w:color w:val="000000"/>
          <w:sz w:val="32"/>
          <w:szCs w:val="32"/>
        </w:rPr>
      </w:pPr>
      <w:bookmarkStart w:id="35" w:name="_Toc15377211"/>
      <w:r>
        <w:rPr>
          <w:rFonts w:ascii="Times New Roman" w:hAnsi="Times New Roman" w:eastAsia="宋体" w:cs="Times New Roman"/>
          <w:kern w:val="2"/>
          <w:sz w:val="21"/>
          <w:szCs w:val="24"/>
          <w:lang w:val="en-US" w:eastAsia="zh-CN" w:bidi="ar-SA"/>
        </w:rPr>
        <w:pict>
          <v:shape id="图表 13" o:spid="_x0000_s1026" type="#_x0000_t75" style="position:absolute;left:0;margin-left:15.4pt;margin-top:12.05pt;height:6pt;width:6pt;rotation:0f;z-index:-2516561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p>
      <w:pPr>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5"/>
    </w:p>
    <w:p>
      <w:pPr>
        <w:rPr>
          <w:rStyle w:val="15"/>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8年一般公共预算财政拨款支出728.42万元，主要用于以下方面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支出221.05万元，占30.35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 xml:space="preserve"> 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支出193.25万元，占26.53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医疗卫生与计划生育</w:t>
      </w:r>
      <w:r>
        <w:rPr>
          <w:rFonts w:hint="eastAsia" w:ascii="仿宋" w:hAnsi="仿宋" w:eastAsia="仿宋"/>
          <w:color w:val="000000"/>
          <w:sz w:val="32"/>
          <w:szCs w:val="32"/>
        </w:rPr>
        <w:t>支出9.9万元，占1.36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节能环保支出</w:t>
      </w:r>
      <w:r>
        <w:rPr>
          <w:rFonts w:hint="eastAsia" w:ascii="仿宋" w:hAnsi="仿宋" w:eastAsia="仿宋"/>
          <w:color w:val="000000"/>
          <w:sz w:val="32"/>
          <w:szCs w:val="32"/>
        </w:rPr>
        <w:t>17.99万元，占2.47%；</w:t>
      </w:r>
      <w:r>
        <w:rPr>
          <w:rFonts w:hint="eastAsia" w:ascii="仿宋" w:hAnsi="仿宋" w:eastAsia="仿宋"/>
          <w:b/>
          <w:color w:val="000000"/>
          <w:sz w:val="32"/>
          <w:szCs w:val="32"/>
        </w:rPr>
        <w:t>城乡社区</w:t>
      </w:r>
      <w:r>
        <w:rPr>
          <w:rFonts w:hint="eastAsia" w:ascii="仿宋" w:hAnsi="仿宋" w:eastAsia="仿宋"/>
          <w:color w:val="000000"/>
          <w:sz w:val="32"/>
          <w:szCs w:val="32"/>
        </w:rPr>
        <w:t>支出13.64万元，占1.87%；</w:t>
      </w:r>
      <w:r>
        <w:rPr>
          <w:rFonts w:hint="eastAsia" w:ascii="仿宋" w:hAnsi="仿宋" w:eastAsia="仿宋"/>
          <w:b/>
          <w:color w:val="000000"/>
          <w:sz w:val="32"/>
          <w:szCs w:val="32"/>
        </w:rPr>
        <w:t>农林水</w:t>
      </w:r>
      <w:r>
        <w:rPr>
          <w:rFonts w:hint="eastAsia" w:ascii="仿宋" w:hAnsi="仿宋" w:eastAsia="仿宋"/>
          <w:color w:val="000000"/>
          <w:sz w:val="32"/>
          <w:szCs w:val="32"/>
        </w:rPr>
        <w:t>支出259.15万元，占35.58%；</w:t>
      </w:r>
      <w:r>
        <w:rPr>
          <w:rFonts w:hint="eastAsia" w:ascii="仿宋" w:hAnsi="仿宋" w:eastAsia="仿宋"/>
          <w:b/>
          <w:color w:val="000000"/>
          <w:sz w:val="32"/>
          <w:szCs w:val="32"/>
        </w:rPr>
        <w:t>交通运输</w:t>
      </w:r>
      <w:r>
        <w:rPr>
          <w:rFonts w:hint="eastAsia" w:ascii="仿宋" w:hAnsi="仿宋" w:eastAsia="仿宋"/>
          <w:color w:val="000000"/>
          <w:sz w:val="32"/>
          <w:szCs w:val="32"/>
        </w:rPr>
        <w:t>支出0万元，占0%；</w:t>
      </w:r>
      <w:r>
        <w:rPr>
          <w:rFonts w:hint="eastAsia" w:ascii="仿宋" w:hAnsi="仿宋" w:eastAsia="仿宋"/>
          <w:b/>
          <w:color w:val="000000"/>
          <w:sz w:val="32"/>
          <w:szCs w:val="32"/>
        </w:rPr>
        <w:t>住房保障</w:t>
      </w:r>
      <w:r>
        <w:rPr>
          <w:rFonts w:hint="eastAsia" w:ascii="仿宋" w:hAnsi="仿宋" w:eastAsia="仿宋"/>
          <w:color w:val="000000"/>
          <w:sz w:val="32"/>
          <w:szCs w:val="32"/>
        </w:rPr>
        <w:t>支出13.14万元，占0.43%。</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sz w:val="32"/>
          <w:szCs w:val="32"/>
        </w:rPr>
        <w:t>2018年般公共预算支出决算数为728.42元</w:t>
      </w:r>
      <w:r>
        <w:rPr>
          <w:rFonts w:hint="eastAsia" w:ascii="仿宋" w:hAnsi="仿宋" w:eastAsia="仿宋"/>
          <w:color w:val="000000"/>
          <w:sz w:val="32"/>
          <w:szCs w:val="32"/>
        </w:rPr>
        <w:t>，</w:t>
      </w:r>
      <w:r>
        <w:rPr>
          <w:rStyle w:val="14"/>
          <w:rFonts w:hint="eastAsia" w:ascii="仿宋" w:hAnsi="仿宋" w:eastAsia="仿宋"/>
          <w:bCs/>
          <w:color w:val="000000"/>
          <w:sz w:val="32"/>
          <w:szCs w:val="32"/>
        </w:rPr>
        <w:t>完成预算100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firstLine="660" w:firstLineChars="200"/>
        <w:rPr>
          <w:rFonts w:ascii="仿宋" w:hAnsi="仿宋" w:eastAsia="仿宋"/>
          <w:b/>
          <w:color w:val="000000"/>
          <w:sz w:val="32"/>
          <w:szCs w:val="32"/>
        </w:rPr>
      </w:pPr>
      <w:r>
        <w:rPr>
          <w:rFonts w:ascii="仿宋" w:hAnsi="仿宋" w:eastAsia="仿宋" w:cs="仿宋"/>
          <w:color w:val="000000"/>
          <w:sz w:val="33"/>
          <w:szCs w:val="33"/>
        </w:rPr>
        <w:t>1、一般公共服务支出（类）人大事务（款）行政运行（项）:</w:t>
      </w:r>
      <w:r>
        <w:rPr>
          <w:rStyle w:val="14"/>
          <w:rFonts w:hint="eastAsia" w:ascii="仿宋" w:hAnsi="仿宋" w:eastAsia="仿宋"/>
          <w:bCs/>
          <w:color w:val="000000"/>
          <w:sz w:val="32"/>
          <w:szCs w:val="32"/>
        </w:rPr>
        <w:t>支出决算为7.22万元，完成预算100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w:t>
      </w:r>
    </w:p>
    <w:p>
      <w:pPr>
        <w:spacing w:line="600" w:lineRule="exact"/>
        <w:ind w:firstLine="660" w:firstLineChars="200"/>
        <w:rPr>
          <w:color w:val="000000"/>
        </w:rPr>
      </w:pPr>
      <w:r>
        <w:rPr>
          <w:rFonts w:hint="eastAsia" w:ascii="仿宋" w:hAnsi="仿宋" w:eastAsia="仿宋" w:cs="仿宋"/>
          <w:color w:val="000000"/>
          <w:sz w:val="33"/>
          <w:szCs w:val="33"/>
        </w:rPr>
        <w:t>2、一般公共服务支出（类）人大事务（款）人大会议（项）</w:t>
      </w:r>
      <w:r>
        <w:rPr>
          <w:rStyle w:val="14"/>
          <w:rFonts w:hint="eastAsia" w:ascii="仿宋" w:hAnsi="仿宋" w:eastAsia="仿宋" w:cs="仿宋"/>
          <w:color w:val="000000"/>
          <w:sz w:val="33"/>
          <w:szCs w:val="33"/>
        </w:rPr>
        <w:t>:</w:t>
      </w:r>
      <w:r>
        <w:rPr>
          <w:rStyle w:val="14"/>
          <w:rFonts w:hint="eastAsia" w:ascii="仿宋" w:hAnsi="仿宋" w:eastAsia="仿宋"/>
          <w:bCs/>
          <w:color w:val="000000"/>
          <w:sz w:val="32"/>
          <w:szCs w:val="32"/>
        </w:rPr>
        <w:t>支出决算为3.12万元，完成预算100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w:t>
      </w:r>
    </w:p>
    <w:p>
      <w:pPr>
        <w:spacing w:line="600" w:lineRule="exact"/>
        <w:ind w:firstLine="660" w:firstLineChars="200"/>
        <w:rPr>
          <w:color w:val="000000"/>
        </w:rPr>
      </w:pPr>
      <w:r>
        <w:rPr>
          <w:rFonts w:hint="eastAsia" w:ascii="仿宋" w:hAnsi="仿宋" w:eastAsia="仿宋" w:cs="仿宋"/>
          <w:color w:val="000000"/>
          <w:sz w:val="33"/>
          <w:szCs w:val="33"/>
        </w:rPr>
        <w:t>3.一般公共服务支出（类）政府办公厅（室）及相关机构事务（款）行政运行（项）:</w:t>
      </w:r>
      <w:r>
        <w:rPr>
          <w:rStyle w:val="14"/>
          <w:rFonts w:hint="eastAsia" w:ascii="仿宋" w:hAnsi="仿宋" w:eastAsia="仿宋"/>
          <w:bCs/>
          <w:color w:val="000000"/>
          <w:sz w:val="32"/>
          <w:szCs w:val="32"/>
        </w:rPr>
        <w:t>支出决算为177.56万元，完成预算100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w:t>
      </w:r>
    </w:p>
    <w:p>
      <w:pPr>
        <w:pStyle w:val="12"/>
        <w:widowControl/>
        <w:spacing w:line="580" w:lineRule="atLeast"/>
        <w:ind w:firstLine="640"/>
        <w:rPr>
          <w:rFonts w:hint="default"/>
          <w:color w:val="000000"/>
        </w:rPr>
      </w:pPr>
      <w:r>
        <w:rPr>
          <w:rFonts w:ascii="仿宋" w:hAnsi="仿宋" w:eastAsia="仿宋" w:cs="仿宋"/>
          <w:color w:val="000000"/>
          <w:sz w:val="33"/>
          <w:szCs w:val="33"/>
        </w:rPr>
        <w:t>4.一般公共服务支出（类）政府办公厅（室）及相关机构事务（款）其他政府办公厅（室）及相关机构事务支出（项）:</w:t>
      </w:r>
      <w:r>
        <w:rPr>
          <w:rStyle w:val="14"/>
          <w:rFonts w:ascii="仿宋" w:hAnsi="仿宋" w:eastAsia="仿宋"/>
          <w:bCs/>
          <w:color w:val="000000"/>
          <w:sz w:val="32"/>
          <w:szCs w:val="32"/>
        </w:rPr>
        <w:t>支出决算为2.94万元，完成预算100%</w:t>
      </w:r>
      <w:r>
        <w:rPr>
          <w:rFonts w:ascii="仿宋" w:hAnsi="仿宋" w:eastAsia="仿宋" w:cs="仿宋"/>
          <w:color w:val="000000"/>
          <w:sz w:val="33"/>
          <w:szCs w:val="33"/>
        </w:rPr>
        <w:t>。</w:t>
      </w:r>
    </w:p>
    <w:p>
      <w:pPr>
        <w:pStyle w:val="12"/>
        <w:widowControl/>
        <w:spacing w:line="580" w:lineRule="atLeast"/>
        <w:ind w:firstLine="640"/>
        <w:rPr>
          <w:rFonts w:hint="default"/>
          <w:color w:val="000000"/>
        </w:rPr>
      </w:pPr>
      <w:r>
        <w:rPr>
          <w:rFonts w:ascii="仿宋" w:hAnsi="仿宋" w:eastAsia="仿宋" w:cs="仿宋"/>
          <w:color w:val="000000"/>
          <w:sz w:val="33"/>
          <w:szCs w:val="33"/>
        </w:rPr>
        <w:t>5.一般公共服务支出（类）统计信息事务（款）专项普查活动（项）:</w:t>
      </w:r>
      <w:r>
        <w:rPr>
          <w:rStyle w:val="14"/>
          <w:rFonts w:ascii="仿宋" w:hAnsi="仿宋" w:eastAsia="仿宋"/>
          <w:bCs/>
          <w:color w:val="000000"/>
          <w:sz w:val="32"/>
          <w:szCs w:val="32"/>
        </w:rPr>
        <w:t>支出决算为3.44万元，完成预算100%</w:t>
      </w:r>
      <w:r>
        <w:rPr>
          <w:rFonts w:ascii="仿宋" w:hAnsi="仿宋" w:eastAsia="仿宋" w:cs="仿宋"/>
          <w:color w:val="000000"/>
          <w:sz w:val="33"/>
          <w:szCs w:val="33"/>
        </w:rPr>
        <w:t>。</w:t>
      </w:r>
    </w:p>
    <w:p>
      <w:pPr>
        <w:pStyle w:val="12"/>
        <w:widowControl/>
        <w:spacing w:line="580" w:lineRule="atLeast"/>
        <w:ind w:firstLine="640"/>
        <w:rPr>
          <w:rFonts w:hint="default" w:ascii="仿宋" w:hAnsi="仿宋" w:eastAsia="仿宋" w:cs="仿宋"/>
          <w:color w:val="000000"/>
          <w:sz w:val="33"/>
          <w:szCs w:val="33"/>
        </w:rPr>
      </w:pPr>
      <w:r>
        <w:rPr>
          <w:rFonts w:ascii="仿宋" w:hAnsi="仿宋" w:eastAsia="仿宋" w:cs="仿宋"/>
          <w:color w:val="000000"/>
          <w:sz w:val="33"/>
          <w:szCs w:val="33"/>
        </w:rPr>
        <w:t>6.一般公共服务支出（类）财政事务（款）其他财政事务支出（项）:</w:t>
      </w:r>
      <w:r>
        <w:rPr>
          <w:rStyle w:val="14"/>
          <w:rFonts w:ascii="仿宋" w:hAnsi="仿宋" w:eastAsia="仿宋"/>
          <w:bCs/>
          <w:color w:val="000000"/>
          <w:sz w:val="32"/>
          <w:szCs w:val="32"/>
        </w:rPr>
        <w:t>支出决算为1.87万元，完成预算100%</w:t>
      </w:r>
      <w:r>
        <w:rPr>
          <w:rFonts w:ascii="仿宋" w:hAnsi="仿宋" w:eastAsia="仿宋" w:cs="仿宋"/>
          <w:color w:val="000000"/>
          <w:sz w:val="33"/>
          <w:szCs w:val="33"/>
        </w:rPr>
        <w:t>。</w:t>
      </w:r>
    </w:p>
    <w:p>
      <w:pPr>
        <w:pStyle w:val="12"/>
        <w:widowControl/>
        <w:spacing w:line="580" w:lineRule="atLeast"/>
        <w:ind w:firstLine="640"/>
        <w:rPr>
          <w:rFonts w:hint="default" w:ascii="仿宋" w:hAnsi="仿宋" w:eastAsia="仿宋" w:cs="仿宋"/>
          <w:color w:val="000000"/>
          <w:sz w:val="33"/>
          <w:szCs w:val="33"/>
        </w:rPr>
      </w:pPr>
      <w:r>
        <w:rPr>
          <w:rFonts w:ascii="仿宋" w:hAnsi="仿宋" w:eastAsia="仿宋" w:cs="仿宋"/>
          <w:color w:val="000000"/>
          <w:sz w:val="33"/>
          <w:szCs w:val="33"/>
        </w:rPr>
        <w:t>7.一般公共服务支出（类）党委办公厅（室）及相关机构事务（款）行政运行（项）:</w:t>
      </w:r>
      <w:r>
        <w:rPr>
          <w:rStyle w:val="14"/>
          <w:rFonts w:ascii="仿宋" w:hAnsi="仿宋" w:eastAsia="仿宋"/>
          <w:bCs/>
          <w:color w:val="000000"/>
          <w:sz w:val="32"/>
          <w:szCs w:val="32"/>
        </w:rPr>
        <w:t>支出决算为13.71万元，完成预算100%</w:t>
      </w:r>
      <w:r>
        <w:rPr>
          <w:rFonts w:ascii="仿宋" w:hAnsi="仿宋" w:eastAsia="仿宋" w:cs="仿宋"/>
          <w:color w:val="000000"/>
          <w:sz w:val="33"/>
          <w:szCs w:val="33"/>
        </w:rPr>
        <w:t>。</w:t>
      </w:r>
    </w:p>
    <w:p>
      <w:pPr>
        <w:pStyle w:val="12"/>
        <w:widowControl/>
        <w:spacing w:line="580" w:lineRule="atLeast"/>
        <w:ind w:firstLine="640"/>
        <w:rPr>
          <w:rFonts w:hint="default"/>
          <w:color w:val="000000"/>
        </w:rPr>
      </w:pPr>
      <w:r>
        <w:rPr>
          <w:rFonts w:ascii="仿宋" w:hAnsi="仿宋" w:eastAsia="仿宋" w:cs="仿宋"/>
          <w:color w:val="000000"/>
          <w:sz w:val="33"/>
          <w:szCs w:val="33"/>
        </w:rPr>
        <w:t>8.一般公共服务支出（类）其他一般公共服务支出（款）其他一般公共服务支出（项）:</w:t>
      </w:r>
      <w:r>
        <w:rPr>
          <w:rStyle w:val="14"/>
          <w:rFonts w:ascii="仿宋" w:hAnsi="仿宋" w:eastAsia="仿宋"/>
          <w:bCs/>
          <w:color w:val="000000"/>
          <w:sz w:val="32"/>
          <w:szCs w:val="32"/>
        </w:rPr>
        <w:t>支出决算为0.66万元，完成预算100%</w:t>
      </w:r>
      <w:r>
        <w:rPr>
          <w:rFonts w:ascii="仿宋" w:hAnsi="仿宋" w:eastAsia="仿宋" w:cs="仿宋"/>
          <w:color w:val="000000"/>
          <w:sz w:val="33"/>
          <w:szCs w:val="33"/>
        </w:rPr>
        <w:t>。</w:t>
      </w:r>
    </w:p>
    <w:p>
      <w:pPr>
        <w:pStyle w:val="12"/>
        <w:widowControl/>
        <w:spacing w:line="580" w:lineRule="atLeast"/>
        <w:ind w:firstLine="640"/>
        <w:rPr>
          <w:rFonts w:hint="default" w:ascii="仿宋" w:hAnsi="仿宋" w:eastAsia="仿宋" w:cs="仿宋"/>
          <w:color w:val="000000"/>
          <w:sz w:val="33"/>
          <w:szCs w:val="33"/>
        </w:rPr>
      </w:pPr>
      <w:r>
        <w:rPr>
          <w:rFonts w:ascii="仿宋" w:hAnsi="仿宋" w:eastAsia="仿宋" w:cs="仿宋"/>
          <w:color w:val="000000"/>
          <w:sz w:val="33"/>
          <w:szCs w:val="33"/>
        </w:rPr>
        <w:t>9.教育支出（类）进修及培训（款）培训支出（项）:</w:t>
      </w:r>
      <w:r>
        <w:rPr>
          <w:rStyle w:val="14"/>
          <w:rFonts w:ascii="仿宋" w:hAnsi="仿宋" w:eastAsia="仿宋"/>
          <w:bCs/>
          <w:color w:val="000000"/>
          <w:sz w:val="32"/>
          <w:szCs w:val="32"/>
        </w:rPr>
        <w:t>支出决算为0.29万元，完成预算100%</w:t>
      </w:r>
      <w:r>
        <w:rPr>
          <w:rFonts w:ascii="仿宋" w:hAnsi="仿宋" w:eastAsia="仿宋" w:cs="仿宋"/>
          <w:color w:val="000000"/>
          <w:sz w:val="33"/>
          <w:szCs w:val="33"/>
        </w:rPr>
        <w:t>。</w:t>
      </w:r>
    </w:p>
    <w:p>
      <w:pPr>
        <w:pStyle w:val="12"/>
        <w:widowControl/>
        <w:spacing w:line="580" w:lineRule="atLeast"/>
        <w:ind w:firstLine="640"/>
        <w:rPr>
          <w:rFonts w:hint="default" w:ascii="仿宋" w:hAnsi="仿宋" w:eastAsia="仿宋" w:cs="仿宋"/>
          <w:color w:val="000000"/>
          <w:sz w:val="33"/>
          <w:szCs w:val="33"/>
        </w:rPr>
      </w:pPr>
      <w:r>
        <w:rPr>
          <w:rFonts w:ascii="仿宋" w:hAnsi="仿宋" w:eastAsia="仿宋" w:cs="仿宋"/>
          <w:color w:val="000000"/>
          <w:sz w:val="33"/>
          <w:szCs w:val="33"/>
        </w:rPr>
        <w:t>10.社会保障和就业支出（类）人力资源和社会保障管理事务（款）其他人力资源和社会保障管理事务支出（项）:</w:t>
      </w:r>
      <w:r>
        <w:rPr>
          <w:rStyle w:val="14"/>
          <w:rFonts w:ascii="仿宋" w:hAnsi="仿宋" w:eastAsia="仿宋"/>
          <w:bCs/>
          <w:color w:val="000000"/>
          <w:sz w:val="32"/>
          <w:szCs w:val="32"/>
        </w:rPr>
        <w:t>支出决算为22.07万元，完成预算100%</w:t>
      </w:r>
      <w:r>
        <w:rPr>
          <w:rFonts w:ascii="仿宋" w:hAnsi="仿宋" w:eastAsia="仿宋" w:cs="仿宋"/>
          <w:color w:val="000000"/>
          <w:sz w:val="33"/>
          <w:szCs w:val="33"/>
        </w:rPr>
        <w:t>。</w:t>
      </w:r>
    </w:p>
    <w:p>
      <w:pPr>
        <w:pStyle w:val="12"/>
        <w:widowControl/>
        <w:spacing w:line="580" w:lineRule="atLeast"/>
        <w:ind w:firstLine="640"/>
        <w:rPr>
          <w:rFonts w:hint="default"/>
          <w:color w:val="000000"/>
        </w:rPr>
      </w:pPr>
      <w:r>
        <w:rPr>
          <w:rFonts w:ascii="仿宋" w:hAnsi="仿宋" w:eastAsia="仿宋" w:cs="仿宋"/>
          <w:color w:val="000000"/>
          <w:sz w:val="33"/>
          <w:szCs w:val="33"/>
        </w:rPr>
        <w:t>11.社会保障和就业支出（类）行政事业单位离退休（款） 机关事业单位基本养老保险缴费支出（项）:</w:t>
      </w:r>
      <w:r>
        <w:rPr>
          <w:rStyle w:val="14"/>
          <w:rFonts w:ascii="仿宋" w:hAnsi="仿宋" w:eastAsia="仿宋"/>
          <w:bCs/>
          <w:color w:val="000000"/>
          <w:sz w:val="32"/>
          <w:szCs w:val="32"/>
        </w:rPr>
        <w:t>支出决算为22.97万元，完成预算100%</w:t>
      </w:r>
      <w:r>
        <w:rPr>
          <w:rFonts w:ascii="仿宋" w:hAnsi="仿宋" w:eastAsia="仿宋" w:cs="仿宋"/>
          <w:color w:val="000000"/>
          <w:sz w:val="33"/>
          <w:szCs w:val="33"/>
        </w:rPr>
        <w:t>。</w:t>
      </w:r>
    </w:p>
    <w:p>
      <w:pPr>
        <w:pStyle w:val="12"/>
        <w:widowControl/>
        <w:spacing w:line="580" w:lineRule="atLeast"/>
        <w:ind w:firstLine="640"/>
        <w:rPr>
          <w:rFonts w:hint="default" w:ascii="仿宋" w:hAnsi="仿宋" w:eastAsia="仿宋" w:cs="仿宋"/>
          <w:color w:val="000000"/>
          <w:sz w:val="33"/>
          <w:szCs w:val="33"/>
        </w:rPr>
      </w:pPr>
      <w:r>
        <w:rPr>
          <w:rFonts w:ascii="仿宋" w:hAnsi="仿宋" w:eastAsia="仿宋" w:cs="仿宋"/>
          <w:color w:val="000000"/>
          <w:sz w:val="33"/>
          <w:szCs w:val="33"/>
        </w:rPr>
        <w:t>12.社会保障和就业支出（类）行政事业单位离退休（款） 机关事业单位职业年金缴费支出（项）:</w:t>
      </w:r>
      <w:r>
        <w:rPr>
          <w:rStyle w:val="14"/>
          <w:rFonts w:ascii="仿宋" w:hAnsi="仿宋" w:eastAsia="仿宋"/>
          <w:bCs/>
          <w:color w:val="000000"/>
          <w:sz w:val="32"/>
          <w:szCs w:val="32"/>
        </w:rPr>
        <w:t>支出决算为1.95万元，完成预算100%</w:t>
      </w:r>
      <w:r>
        <w:rPr>
          <w:rFonts w:ascii="仿宋" w:hAnsi="仿宋" w:eastAsia="仿宋" w:cs="仿宋"/>
          <w:color w:val="000000"/>
          <w:sz w:val="33"/>
          <w:szCs w:val="33"/>
        </w:rPr>
        <w:t>。</w:t>
      </w:r>
    </w:p>
    <w:p>
      <w:pPr>
        <w:pStyle w:val="12"/>
        <w:widowControl/>
        <w:spacing w:line="580" w:lineRule="atLeast"/>
        <w:ind w:firstLine="640"/>
        <w:rPr>
          <w:rFonts w:hint="default" w:ascii="仿宋" w:hAnsi="仿宋" w:eastAsia="仿宋" w:cs="仿宋"/>
          <w:color w:val="000000"/>
          <w:sz w:val="33"/>
          <w:szCs w:val="33"/>
        </w:rPr>
      </w:pPr>
      <w:r>
        <w:rPr>
          <w:rFonts w:ascii="仿宋" w:hAnsi="仿宋" w:eastAsia="仿宋" w:cs="仿宋"/>
          <w:color w:val="000000"/>
          <w:sz w:val="33"/>
          <w:szCs w:val="33"/>
        </w:rPr>
        <w:t>13.社会保障和就业支出（类）抚恤（款）死亡抚恤（项）:</w:t>
      </w:r>
      <w:r>
        <w:rPr>
          <w:rStyle w:val="14"/>
          <w:rFonts w:ascii="仿宋" w:hAnsi="仿宋" w:eastAsia="仿宋"/>
          <w:bCs/>
          <w:color w:val="000000"/>
          <w:sz w:val="32"/>
          <w:szCs w:val="32"/>
        </w:rPr>
        <w:t>支出决算为8.21万元，完成预算100%</w:t>
      </w:r>
      <w:r>
        <w:rPr>
          <w:rFonts w:ascii="仿宋" w:hAnsi="仿宋" w:eastAsia="仿宋" w:cs="仿宋"/>
          <w:color w:val="000000"/>
          <w:sz w:val="33"/>
          <w:szCs w:val="33"/>
        </w:rPr>
        <w:t>。</w:t>
      </w:r>
    </w:p>
    <w:p>
      <w:pPr>
        <w:pStyle w:val="12"/>
        <w:widowControl/>
        <w:spacing w:line="580" w:lineRule="atLeast"/>
        <w:ind w:firstLine="640"/>
        <w:rPr>
          <w:rFonts w:hint="default" w:ascii="仿宋" w:hAnsi="仿宋" w:eastAsia="仿宋" w:cs="仿宋"/>
          <w:color w:val="000000"/>
          <w:sz w:val="33"/>
          <w:szCs w:val="33"/>
        </w:rPr>
      </w:pPr>
      <w:r>
        <w:rPr>
          <w:rFonts w:ascii="仿宋" w:hAnsi="仿宋" w:eastAsia="仿宋" w:cs="仿宋"/>
          <w:color w:val="000000"/>
          <w:sz w:val="33"/>
          <w:szCs w:val="33"/>
        </w:rPr>
        <w:t>14.社会保障和就业支出（类）抚恤（款）伤残抚恤（项）:</w:t>
      </w:r>
      <w:r>
        <w:rPr>
          <w:rStyle w:val="14"/>
          <w:rFonts w:ascii="仿宋" w:hAnsi="仿宋" w:eastAsia="仿宋"/>
          <w:bCs/>
          <w:color w:val="000000"/>
          <w:sz w:val="32"/>
          <w:szCs w:val="32"/>
        </w:rPr>
        <w:t>支出决算为4.35万元，完成预算100%</w:t>
      </w:r>
      <w:r>
        <w:rPr>
          <w:rFonts w:ascii="仿宋" w:hAnsi="仿宋" w:eastAsia="仿宋" w:cs="仿宋"/>
          <w:color w:val="000000"/>
          <w:sz w:val="33"/>
          <w:szCs w:val="33"/>
        </w:rPr>
        <w:t>。</w:t>
      </w:r>
    </w:p>
    <w:p>
      <w:pPr>
        <w:pStyle w:val="12"/>
        <w:widowControl/>
        <w:spacing w:line="580" w:lineRule="atLeast"/>
        <w:ind w:firstLine="640"/>
        <w:rPr>
          <w:rFonts w:hint="default" w:ascii="仿宋" w:hAnsi="仿宋" w:eastAsia="仿宋" w:cs="仿宋"/>
          <w:color w:val="000000"/>
          <w:sz w:val="33"/>
          <w:szCs w:val="33"/>
        </w:rPr>
      </w:pPr>
      <w:r>
        <w:rPr>
          <w:rFonts w:ascii="仿宋" w:hAnsi="仿宋" w:eastAsia="仿宋" w:cs="仿宋"/>
          <w:color w:val="000000"/>
          <w:sz w:val="33"/>
          <w:szCs w:val="33"/>
        </w:rPr>
        <w:t>15.社会保障和就业支出（类）抚恤（款）在乡复员、退伍军人生活补助（项）:</w:t>
      </w:r>
      <w:r>
        <w:rPr>
          <w:rStyle w:val="14"/>
          <w:rFonts w:ascii="仿宋" w:hAnsi="仿宋" w:eastAsia="仿宋"/>
          <w:bCs/>
          <w:color w:val="000000"/>
          <w:sz w:val="32"/>
          <w:szCs w:val="32"/>
        </w:rPr>
        <w:t>支出决算为45.25万元，完成预算100%</w:t>
      </w:r>
      <w:r>
        <w:rPr>
          <w:rFonts w:ascii="仿宋" w:hAnsi="仿宋" w:eastAsia="仿宋" w:cs="仿宋"/>
          <w:color w:val="000000"/>
          <w:sz w:val="33"/>
          <w:szCs w:val="33"/>
        </w:rPr>
        <w:t>。</w:t>
      </w:r>
    </w:p>
    <w:p>
      <w:pPr>
        <w:pStyle w:val="12"/>
        <w:widowControl/>
        <w:spacing w:line="580" w:lineRule="atLeast"/>
        <w:ind w:firstLine="640"/>
        <w:rPr>
          <w:rFonts w:hint="default" w:ascii="仿宋" w:hAnsi="仿宋" w:eastAsia="仿宋" w:cs="仿宋"/>
          <w:color w:val="000000"/>
          <w:sz w:val="33"/>
          <w:szCs w:val="33"/>
        </w:rPr>
      </w:pPr>
      <w:r>
        <w:rPr>
          <w:rFonts w:ascii="仿宋" w:hAnsi="仿宋" w:eastAsia="仿宋" w:cs="仿宋"/>
          <w:color w:val="000000"/>
          <w:sz w:val="33"/>
          <w:szCs w:val="33"/>
        </w:rPr>
        <w:t>16.社会保障和就业支出（类）抚恤（款）义务兵优待（项）:</w:t>
      </w:r>
      <w:r>
        <w:rPr>
          <w:rStyle w:val="14"/>
          <w:rFonts w:ascii="仿宋" w:hAnsi="仿宋" w:eastAsia="仿宋"/>
          <w:bCs/>
          <w:color w:val="000000"/>
          <w:sz w:val="32"/>
          <w:szCs w:val="32"/>
        </w:rPr>
        <w:t>支出决算为11.76万元，完成预算100%</w:t>
      </w:r>
      <w:r>
        <w:rPr>
          <w:rFonts w:ascii="仿宋" w:hAnsi="仿宋" w:eastAsia="仿宋" w:cs="仿宋"/>
          <w:color w:val="000000"/>
          <w:sz w:val="33"/>
          <w:szCs w:val="33"/>
        </w:rPr>
        <w:t>。</w:t>
      </w:r>
    </w:p>
    <w:p>
      <w:pPr>
        <w:pStyle w:val="12"/>
        <w:widowControl/>
        <w:spacing w:line="580" w:lineRule="atLeast"/>
        <w:ind w:firstLine="640"/>
        <w:rPr>
          <w:rFonts w:hint="default" w:ascii="仿宋" w:hAnsi="仿宋" w:eastAsia="仿宋"/>
          <w:b/>
          <w:color w:val="000000"/>
          <w:sz w:val="32"/>
          <w:szCs w:val="32"/>
        </w:rPr>
      </w:pPr>
      <w:r>
        <w:rPr>
          <w:rFonts w:ascii="仿宋" w:hAnsi="仿宋" w:eastAsia="仿宋" w:cs="仿宋"/>
          <w:color w:val="000000"/>
          <w:sz w:val="33"/>
          <w:szCs w:val="33"/>
        </w:rPr>
        <w:t>17.社会保障和就业支出（类）抚恤（款）农村籍退役士兵生活补助（项）:</w:t>
      </w:r>
      <w:r>
        <w:rPr>
          <w:rStyle w:val="14"/>
          <w:rFonts w:ascii="仿宋" w:hAnsi="仿宋" w:eastAsia="仿宋"/>
          <w:bCs/>
          <w:color w:val="000000"/>
          <w:sz w:val="32"/>
          <w:szCs w:val="32"/>
        </w:rPr>
        <w:t>支出决算为13.89万元，完成预算100%</w:t>
      </w:r>
      <w:r>
        <w:rPr>
          <w:rFonts w:ascii="仿宋" w:hAnsi="仿宋" w:eastAsia="仿宋" w:cs="仿宋"/>
          <w:color w:val="000000"/>
          <w:sz w:val="33"/>
          <w:szCs w:val="33"/>
        </w:rPr>
        <w:t>。</w:t>
      </w:r>
    </w:p>
    <w:p>
      <w:pPr>
        <w:pStyle w:val="12"/>
        <w:widowControl/>
        <w:spacing w:line="580" w:lineRule="atLeast"/>
        <w:ind w:firstLine="640"/>
        <w:rPr>
          <w:rFonts w:hint="default" w:ascii="仿宋" w:hAnsi="仿宋" w:eastAsia="仿宋"/>
          <w:b/>
          <w:color w:val="000000"/>
          <w:sz w:val="32"/>
          <w:szCs w:val="32"/>
        </w:rPr>
      </w:pPr>
      <w:r>
        <w:rPr>
          <w:rFonts w:ascii="仿宋" w:hAnsi="仿宋" w:eastAsia="仿宋"/>
          <w:b/>
          <w:color w:val="000000"/>
          <w:sz w:val="32"/>
          <w:szCs w:val="32"/>
        </w:rPr>
        <w:t>18</w:t>
      </w:r>
      <w:r>
        <w:rPr>
          <w:rFonts w:ascii="仿宋" w:hAnsi="仿宋" w:eastAsia="仿宋" w:cs="仿宋"/>
          <w:color w:val="000000"/>
          <w:sz w:val="33"/>
          <w:szCs w:val="33"/>
        </w:rPr>
        <w:t>.社会保障和就业支出（类）社会福利（款） 社会福利事业单位（项）:</w:t>
      </w:r>
      <w:r>
        <w:rPr>
          <w:rStyle w:val="14"/>
          <w:rFonts w:ascii="仿宋" w:hAnsi="仿宋" w:eastAsia="仿宋"/>
          <w:bCs/>
          <w:color w:val="000000"/>
          <w:sz w:val="32"/>
          <w:szCs w:val="32"/>
        </w:rPr>
        <w:t>支出决算为11.79万元，完成预算100%</w:t>
      </w:r>
      <w:r>
        <w:rPr>
          <w:rFonts w:ascii="仿宋" w:hAnsi="仿宋" w:eastAsia="仿宋" w:cs="仿宋"/>
          <w:color w:val="000000"/>
          <w:sz w:val="33"/>
          <w:szCs w:val="33"/>
        </w:rPr>
        <w:t>。</w:t>
      </w:r>
    </w:p>
    <w:p>
      <w:pPr>
        <w:pStyle w:val="12"/>
        <w:widowControl/>
        <w:spacing w:line="580" w:lineRule="atLeast"/>
        <w:ind w:firstLine="640"/>
        <w:rPr>
          <w:rFonts w:hint="default" w:ascii="仿宋" w:hAnsi="仿宋" w:eastAsia="仿宋" w:cs="仿宋"/>
          <w:color w:val="000000"/>
          <w:sz w:val="33"/>
          <w:szCs w:val="33"/>
        </w:rPr>
      </w:pPr>
      <w:r>
        <w:rPr>
          <w:rFonts w:ascii="仿宋" w:hAnsi="仿宋" w:eastAsia="仿宋" w:cs="仿宋"/>
          <w:color w:val="000000"/>
          <w:sz w:val="33"/>
          <w:szCs w:val="33"/>
        </w:rPr>
        <w:t>19.社会保障和就业支出（类）特困人员救助供养（款）农村特困人员救助供养支出（项）:</w:t>
      </w:r>
      <w:r>
        <w:rPr>
          <w:rStyle w:val="14"/>
          <w:rFonts w:ascii="仿宋" w:hAnsi="仿宋" w:eastAsia="仿宋"/>
          <w:bCs/>
          <w:color w:val="000000"/>
          <w:sz w:val="32"/>
          <w:szCs w:val="32"/>
        </w:rPr>
        <w:t>支出决算为39.6万元，完成预算100%</w:t>
      </w:r>
      <w:r>
        <w:rPr>
          <w:rFonts w:ascii="仿宋" w:hAnsi="仿宋" w:eastAsia="仿宋" w:cs="仿宋"/>
          <w:color w:val="000000"/>
          <w:sz w:val="33"/>
          <w:szCs w:val="33"/>
        </w:rPr>
        <w:t>。</w:t>
      </w:r>
    </w:p>
    <w:p>
      <w:pPr>
        <w:pStyle w:val="12"/>
        <w:widowControl/>
        <w:spacing w:line="580" w:lineRule="atLeast"/>
        <w:ind w:firstLine="640"/>
        <w:rPr>
          <w:rFonts w:hint="default" w:ascii="仿宋" w:hAnsi="仿宋" w:eastAsia="仿宋" w:cs="仿宋"/>
          <w:color w:val="000000"/>
          <w:sz w:val="33"/>
          <w:szCs w:val="33"/>
        </w:rPr>
      </w:pPr>
      <w:r>
        <w:rPr>
          <w:rFonts w:ascii="仿宋" w:hAnsi="仿宋" w:eastAsia="仿宋" w:cs="仿宋"/>
          <w:color w:val="000000"/>
          <w:sz w:val="33"/>
          <w:szCs w:val="33"/>
        </w:rPr>
        <w:t>20.社会保障和就业支出（类）其他社会保障和就业（款）其他社会保障和就业支出（项）:</w:t>
      </w:r>
      <w:r>
        <w:rPr>
          <w:rStyle w:val="14"/>
          <w:rFonts w:ascii="仿宋" w:hAnsi="仿宋" w:eastAsia="仿宋"/>
          <w:bCs/>
          <w:color w:val="000000"/>
          <w:sz w:val="32"/>
          <w:szCs w:val="32"/>
        </w:rPr>
        <w:t>支出决算为10万元，完成预算100%</w:t>
      </w:r>
      <w:r>
        <w:rPr>
          <w:rFonts w:ascii="仿宋" w:hAnsi="仿宋" w:eastAsia="仿宋" w:cs="仿宋"/>
          <w:color w:val="000000"/>
          <w:sz w:val="33"/>
          <w:szCs w:val="33"/>
        </w:rPr>
        <w:t>。</w:t>
      </w:r>
    </w:p>
    <w:p>
      <w:pPr>
        <w:pStyle w:val="12"/>
        <w:widowControl/>
        <w:spacing w:line="580" w:lineRule="atLeast"/>
        <w:ind w:firstLine="640"/>
        <w:rPr>
          <w:rFonts w:hint="default"/>
          <w:color w:val="000000"/>
        </w:rPr>
      </w:pPr>
      <w:r>
        <w:rPr>
          <w:rFonts w:ascii="仿宋" w:hAnsi="仿宋" w:eastAsia="仿宋" w:cs="仿宋"/>
          <w:color w:val="000000"/>
          <w:sz w:val="33"/>
          <w:szCs w:val="33"/>
        </w:rPr>
        <w:t>21.医疗卫生与计划生育支出（类）计划生育事务（款）其他计划生育事务支出（项）:</w:t>
      </w:r>
      <w:r>
        <w:rPr>
          <w:rStyle w:val="14"/>
          <w:rFonts w:ascii="仿宋" w:hAnsi="仿宋" w:eastAsia="仿宋"/>
          <w:bCs/>
          <w:color w:val="000000"/>
          <w:sz w:val="32"/>
          <w:szCs w:val="32"/>
        </w:rPr>
        <w:t>支出决算为2.7万元，完成预算100%</w:t>
      </w:r>
      <w:r>
        <w:rPr>
          <w:rFonts w:ascii="仿宋" w:hAnsi="仿宋" w:eastAsia="仿宋" w:cs="仿宋"/>
          <w:color w:val="000000"/>
          <w:sz w:val="33"/>
          <w:szCs w:val="33"/>
        </w:rPr>
        <w:t>。</w:t>
      </w:r>
    </w:p>
    <w:p>
      <w:pPr>
        <w:pStyle w:val="12"/>
        <w:widowControl/>
        <w:spacing w:line="580" w:lineRule="atLeast"/>
        <w:ind w:firstLine="640"/>
        <w:rPr>
          <w:rFonts w:hint="default"/>
          <w:color w:val="000000"/>
        </w:rPr>
      </w:pPr>
      <w:r>
        <w:rPr>
          <w:rFonts w:ascii="仿宋" w:hAnsi="仿宋" w:eastAsia="仿宋" w:cs="仿宋"/>
          <w:color w:val="000000"/>
          <w:sz w:val="33"/>
          <w:szCs w:val="33"/>
        </w:rPr>
        <w:t>22.医疗卫生与计划生育支出（类）行政事业单位医疗（款） 行政单位医疗（项）:</w:t>
      </w:r>
      <w:r>
        <w:rPr>
          <w:rStyle w:val="14"/>
          <w:rFonts w:ascii="仿宋" w:hAnsi="仿宋" w:eastAsia="仿宋"/>
          <w:bCs/>
          <w:color w:val="000000"/>
          <w:sz w:val="32"/>
          <w:szCs w:val="32"/>
        </w:rPr>
        <w:t>支出决算为7.21万元，完成预算100%</w:t>
      </w:r>
      <w:r>
        <w:rPr>
          <w:rFonts w:ascii="仿宋" w:hAnsi="仿宋" w:eastAsia="仿宋" w:cs="仿宋"/>
          <w:color w:val="000000"/>
          <w:sz w:val="33"/>
          <w:szCs w:val="33"/>
        </w:rPr>
        <w:t>。</w:t>
      </w:r>
    </w:p>
    <w:p>
      <w:pPr>
        <w:pStyle w:val="12"/>
        <w:widowControl/>
        <w:spacing w:line="580" w:lineRule="atLeast"/>
        <w:ind w:firstLine="640"/>
        <w:rPr>
          <w:rFonts w:hint="default"/>
          <w:color w:val="000000"/>
        </w:rPr>
      </w:pPr>
      <w:r>
        <w:rPr>
          <w:rFonts w:ascii="仿宋" w:hAnsi="仿宋" w:eastAsia="仿宋" w:cs="仿宋"/>
          <w:color w:val="000000"/>
          <w:sz w:val="33"/>
          <w:szCs w:val="33"/>
        </w:rPr>
        <w:t>23.节能环保支出（类）自然生态保护（款）农村环境保护（项）:</w:t>
      </w:r>
      <w:r>
        <w:rPr>
          <w:rStyle w:val="14"/>
          <w:rFonts w:ascii="仿宋" w:hAnsi="仿宋" w:eastAsia="仿宋"/>
          <w:bCs/>
          <w:color w:val="000000"/>
          <w:sz w:val="32"/>
          <w:szCs w:val="32"/>
        </w:rPr>
        <w:t>支出决算为17.99万元，完成预算100%</w:t>
      </w:r>
      <w:r>
        <w:rPr>
          <w:rFonts w:ascii="仿宋" w:hAnsi="仿宋" w:eastAsia="仿宋" w:cs="仿宋"/>
          <w:color w:val="000000"/>
          <w:sz w:val="33"/>
          <w:szCs w:val="33"/>
        </w:rPr>
        <w:t>。</w:t>
      </w:r>
    </w:p>
    <w:p>
      <w:pPr>
        <w:pStyle w:val="12"/>
        <w:widowControl/>
        <w:spacing w:line="580" w:lineRule="atLeast"/>
        <w:ind w:firstLine="640"/>
        <w:rPr>
          <w:rFonts w:hint="default"/>
          <w:color w:val="000000"/>
        </w:rPr>
      </w:pPr>
      <w:r>
        <w:rPr>
          <w:rFonts w:ascii="仿宋" w:hAnsi="仿宋" w:eastAsia="仿宋" w:cs="仿宋"/>
          <w:color w:val="000000"/>
          <w:sz w:val="33"/>
          <w:szCs w:val="33"/>
        </w:rPr>
        <w:t>24.城乡社区支出（类）城乡社区管理事务（款）其他城乡社区管理事务支出（项）:</w:t>
      </w:r>
      <w:r>
        <w:rPr>
          <w:rStyle w:val="14"/>
          <w:rFonts w:ascii="仿宋" w:hAnsi="仿宋" w:eastAsia="仿宋"/>
          <w:bCs/>
          <w:color w:val="000000"/>
          <w:sz w:val="32"/>
          <w:szCs w:val="32"/>
        </w:rPr>
        <w:t>支出决算为13.64万元，完成预算100%</w:t>
      </w:r>
      <w:r>
        <w:rPr>
          <w:rFonts w:ascii="仿宋" w:hAnsi="仿宋" w:eastAsia="仿宋" w:cs="仿宋"/>
          <w:color w:val="000000"/>
          <w:sz w:val="33"/>
          <w:szCs w:val="33"/>
        </w:rPr>
        <w:t>。</w:t>
      </w:r>
    </w:p>
    <w:p>
      <w:pPr>
        <w:pStyle w:val="12"/>
        <w:widowControl/>
        <w:spacing w:line="580" w:lineRule="atLeast"/>
        <w:ind w:firstLine="640"/>
        <w:rPr>
          <w:rFonts w:hint="default"/>
          <w:color w:val="000000"/>
        </w:rPr>
      </w:pPr>
      <w:r>
        <w:rPr>
          <w:rFonts w:ascii="仿宋" w:hAnsi="仿宋" w:eastAsia="仿宋" w:cs="仿宋"/>
          <w:color w:val="000000"/>
          <w:sz w:val="33"/>
          <w:szCs w:val="33"/>
        </w:rPr>
        <w:t>25.农林水支出（类）农业（款）事业运行（项）:</w:t>
      </w:r>
      <w:r>
        <w:rPr>
          <w:rStyle w:val="14"/>
          <w:rFonts w:ascii="仿宋" w:hAnsi="仿宋" w:eastAsia="仿宋"/>
          <w:bCs/>
          <w:color w:val="000000"/>
          <w:sz w:val="32"/>
          <w:szCs w:val="32"/>
        </w:rPr>
        <w:t>支出决算为22.33万元，完成预算100%</w:t>
      </w:r>
      <w:r>
        <w:rPr>
          <w:rFonts w:ascii="仿宋" w:hAnsi="仿宋" w:eastAsia="仿宋" w:cs="仿宋"/>
          <w:color w:val="000000"/>
          <w:sz w:val="33"/>
          <w:szCs w:val="33"/>
        </w:rPr>
        <w:t>。</w:t>
      </w:r>
    </w:p>
    <w:p>
      <w:pPr>
        <w:pStyle w:val="12"/>
        <w:widowControl/>
        <w:spacing w:line="580" w:lineRule="atLeast"/>
        <w:ind w:firstLine="640"/>
        <w:rPr>
          <w:rFonts w:hint="default" w:ascii="仿宋" w:hAnsi="仿宋" w:eastAsia="仿宋" w:cs="仿宋"/>
          <w:color w:val="000000"/>
          <w:sz w:val="33"/>
          <w:szCs w:val="33"/>
        </w:rPr>
      </w:pPr>
      <w:r>
        <w:rPr>
          <w:rFonts w:ascii="仿宋" w:hAnsi="仿宋" w:eastAsia="仿宋" w:cs="仿宋"/>
          <w:color w:val="000000"/>
          <w:sz w:val="33"/>
          <w:szCs w:val="33"/>
        </w:rPr>
        <w:t>26.农林水支出（类）扶贫（款） 其他扶贫支出（项）:</w:t>
      </w:r>
      <w:r>
        <w:rPr>
          <w:rStyle w:val="14"/>
          <w:rFonts w:ascii="仿宋" w:hAnsi="仿宋" w:eastAsia="仿宋"/>
          <w:bCs/>
          <w:color w:val="000000"/>
          <w:sz w:val="32"/>
          <w:szCs w:val="32"/>
        </w:rPr>
        <w:t>支出决算为6.4万元，完成预算100%</w:t>
      </w:r>
      <w:r>
        <w:rPr>
          <w:rFonts w:ascii="仿宋" w:hAnsi="仿宋" w:eastAsia="仿宋" w:cs="仿宋"/>
          <w:color w:val="000000"/>
          <w:sz w:val="33"/>
          <w:szCs w:val="33"/>
        </w:rPr>
        <w:t>。</w:t>
      </w:r>
    </w:p>
    <w:p>
      <w:pPr>
        <w:pStyle w:val="12"/>
        <w:widowControl/>
        <w:spacing w:line="580" w:lineRule="atLeast"/>
        <w:ind w:firstLine="640"/>
        <w:rPr>
          <w:rFonts w:hint="default" w:ascii="仿宋" w:hAnsi="仿宋" w:eastAsia="仿宋" w:cs="仿宋"/>
          <w:color w:val="000000"/>
          <w:sz w:val="33"/>
          <w:szCs w:val="33"/>
        </w:rPr>
      </w:pPr>
      <w:r>
        <w:rPr>
          <w:rFonts w:ascii="仿宋" w:hAnsi="仿宋" w:eastAsia="仿宋" w:cs="仿宋"/>
          <w:color w:val="000000"/>
          <w:sz w:val="33"/>
          <w:szCs w:val="33"/>
        </w:rPr>
        <w:t>27.农林水支出（类）农村综合改革（款）对村级一事一议的补助（项）:</w:t>
      </w:r>
      <w:r>
        <w:rPr>
          <w:rStyle w:val="14"/>
          <w:rFonts w:ascii="仿宋" w:hAnsi="仿宋" w:eastAsia="仿宋"/>
          <w:bCs/>
          <w:color w:val="000000"/>
          <w:sz w:val="32"/>
          <w:szCs w:val="32"/>
        </w:rPr>
        <w:t>支出决算为85.00万元，完成预算100%</w:t>
      </w:r>
      <w:r>
        <w:rPr>
          <w:rFonts w:ascii="仿宋" w:hAnsi="仿宋" w:eastAsia="仿宋" w:cs="仿宋"/>
          <w:color w:val="000000"/>
          <w:sz w:val="33"/>
          <w:szCs w:val="33"/>
        </w:rPr>
        <w:t>。</w:t>
      </w:r>
    </w:p>
    <w:p>
      <w:pPr>
        <w:pStyle w:val="12"/>
        <w:widowControl/>
        <w:spacing w:line="580" w:lineRule="atLeast"/>
        <w:ind w:firstLine="640"/>
        <w:rPr>
          <w:rFonts w:hint="default"/>
          <w:color w:val="000000"/>
        </w:rPr>
      </w:pPr>
      <w:r>
        <w:rPr>
          <w:rFonts w:ascii="仿宋" w:hAnsi="仿宋" w:eastAsia="仿宋" w:cs="仿宋"/>
          <w:color w:val="000000"/>
          <w:sz w:val="33"/>
          <w:szCs w:val="33"/>
        </w:rPr>
        <w:t>28.农林水支出（类）农村综合改革（款）对村民委员会和村党支部的补助（项）:</w:t>
      </w:r>
      <w:r>
        <w:rPr>
          <w:rStyle w:val="14"/>
          <w:rFonts w:ascii="仿宋" w:hAnsi="仿宋" w:eastAsia="仿宋"/>
          <w:bCs/>
          <w:color w:val="000000"/>
          <w:sz w:val="32"/>
          <w:szCs w:val="32"/>
        </w:rPr>
        <w:t>支出决算为138.22万元，完成预算100%</w:t>
      </w:r>
      <w:r>
        <w:rPr>
          <w:rFonts w:ascii="仿宋" w:hAnsi="仿宋" w:eastAsia="仿宋" w:cs="仿宋"/>
          <w:color w:val="000000"/>
          <w:sz w:val="33"/>
          <w:szCs w:val="33"/>
        </w:rPr>
        <w:t>。</w:t>
      </w:r>
    </w:p>
    <w:p>
      <w:pPr>
        <w:pStyle w:val="12"/>
        <w:widowControl/>
        <w:spacing w:line="580" w:lineRule="atLeast"/>
        <w:ind w:firstLine="640"/>
        <w:rPr>
          <w:rFonts w:hint="default" w:ascii="仿宋" w:hAnsi="仿宋" w:eastAsia="仿宋"/>
          <w:b/>
          <w:color w:val="00B0F0"/>
          <w:sz w:val="32"/>
          <w:szCs w:val="32"/>
        </w:rPr>
      </w:pPr>
      <w:r>
        <w:rPr>
          <w:rFonts w:ascii="仿宋" w:hAnsi="仿宋" w:eastAsia="仿宋" w:cs="仿宋"/>
          <w:color w:val="000000"/>
          <w:sz w:val="33"/>
          <w:szCs w:val="33"/>
        </w:rPr>
        <w:t>29.住房保障支出（类）住房改革支出（款）住房公积金（项）:</w:t>
      </w:r>
      <w:r>
        <w:rPr>
          <w:rStyle w:val="14"/>
          <w:rFonts w:ascii="仿宋" w:hAnsi="仿宋" w:eastAsia="仿宋"/>
          <w:bCs/>
          <w:color w:val="000000"/>
          <w:sz w:val="32"/>
          <w:szCs w:val="32"/>
        </w:rPr>
        <w:t>支出决算为13.14万元，完成预算100%</w:t>
      </w:r>
      <w:r>
        <w:rPr>
          <w:rFonts w:ascii="仿宋" w:hAnsi="仿宋" w:eastAsia="仿宋" w:cs="仿宋"/>
          <w:color w:val="000000"/>
          <w:sz w:val="33"/>
          <w:szCs w:val="33"/>
        </w:rPr>
        <w:t>。</w:t>
      </w:r>
    </w:p>
    <w:p>
      <w:pPr>
        <w:tabs>
          <w:tab w:val="right" w:pos="8306"/>
        </w:tabs>
        <w:spacing w:line="600" w:lineRule="exact"/>
        <w:ind w:firstLine="640"/>
        <w:outlineLvl w:val="1"/>
        <w:rPr>
          <w:rStyle w:val="28"/>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般公共预算财政拨款基本支出决算情况说明</w:t>
      </w:r>
      <w:bookmarkEnd w:id="40"/>
      <w:bookmarkEnd w:id="41"/>
      <w:r>
        <w:rPr>
          <w:rStyle w:val="2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8年一般公共预算财政拨款基本支出575.69万元，其中：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432.99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r>
      <w:r>
        <w:rPr>
          <w:rFonts w:hint="eastAsia" w:ascii="仿宋" w:hAnsi="仿宋" w:eastAsia="仿宋"/>
          <w:color w:val="000000"/>
          <w:sz w:val="32"/>
          <w:szCs w:val="32"/>
        </w:rPr>
        <w:t>　　公用经费142.7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8"/>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2018年“三公”经费财政拨款支出决算为10.31万元，完成预算93.73%，决算数小于预算数的主要原因是严格执行中央八项规定，缩减公务用车购置及运行维护费和公务接待费支出0.69万元。</w:t>
      </w:r>
    </w:p>
    <w:p>
      <w:pPr>
        <w:spacing w:line="600" w:lineRule="exact"/>
        <w:ind w:firstLine="640"/>
        <w:rPr>
          <w:rFonts w:ascii="仿宋" w:hAnsi="仿宋" w:eastAsia="仿宋"/>
          <w:color w:val="000000"/>
          <w:sz w:val="32"/>
          <w:szCs w:val="32"/>
        </w:rPr>
      </w:pPr>
      <w:bookmarkStart w:id="45" w:name="_Toc15377217"/>
      <w:r>
        <w:rPr>
          <w:rFonts w:hint="eastAsia" w:ascii="仿宋" w:hAnsi="仿宋" w:eastAsia="仿宋"/>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2018年“三公”经费财政拨款支出决算中，因公出国（境）费支出决算0万元，占0%；公务用车购置及运行维护费支出决算5.64万元，占54.7%；公务接待费支出决算4.67万元，占45.3</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。主要原因是无因公出境费。</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5.64万元,</w:t>
      </w:r>
      <w:r>
        <w:rPr>
          <w:rStyle w:val="14"/>
          <w:rFonts w:hint="eastAsia" w:ascii="仿宋" w:hAnsi="仿宋" w:eastAsia="仿宋"/>
          <w:b w:val="0"/>
          <w:bCs/>
          <w:color w:val="000000"/>
          <w:sz w:val="32"/>
          <w:szCs w:val="32"/>
        </w:rPr>
        <w:t>完成预算94%。</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7年减少0.28万元，增加4.9</w:t>
      </w:r>
      <w:r>
        <w:rPr>
          <w:rFonts w:ascii="仿宋_GB2312" w:eastAsia="仿宋_GB2312"/>
          <w:color w:val="000000"/>
          <w:sz w:val="32"/>
          <w:szCs w:val="32"/>
        </w:rPr>
        <w:t>%</w:t>
      </w:r>
      <w:r>
        <w:rPr>
          <w:rFonts w:hint="eastAsia" w:ascii="仿宋_GB2312" w:eastAsia="仿宋_GB2312"/>
          <w:color w:val="000000"/>
          <w:sz w:val="32"/>
          <w:szCs w:val="32"/>
        </w:rPr>
        <w:t>。主要原因是一是严格控制公务接待；二是稳定控制公务用车的使用范</w:t>
      </w:r>
      <w:r>
        <w:rPr>
          <w:rFonts w:hint="eastAsia" w:ascii="仿宋_GB2312" w:eastAsia="仿宋_GB2312"/>
          <w:color w:val="333333"/>
          <w:sz w:val="32"/>
          <w:szCs w:val="32"/>
        </w:rPr>
        <w:t>围和情况，但燃油费上涨难以控制。</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0万元。全年按规定更新购置公务用车0辆，其中：轿车0辆、金额0万元，越野车0辆、金额0万元，载客汽车0辆、金额0万元0。截至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月底，单位共有公务用车1辆，其中：轿车1辆、越野车0辆、载客汽车0辆。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5.64万元。主要用于下村脱贫攻坚、秸秆禁烧检查、环保检查、信访维稳等所需的公务用车燃料费、维修费、过路过桥费、保险费等支出。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4.67万元，</w:t>
      </w:r>
      <w:r>
        <w:rPr>
          <w:rStyle w:val="14"/>
          <w:rFonts w:hint="eastAsia" w:ascii="仿宋" w:hAnsi="仿宋" w:eastAsia="仿宋"/>
          <w:b w:val="0"/>
          <w:bCs/>
          <w:color w:val="000000"/>
          <w:sz w:val="32"/>
          <w:szCs w:val="32"/>
        </w:rPr>
        <w:t>完成预算93.4</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7年减少0.25万元，下降5.35</w:t>
      </w:r>
      <w:r>
        <w:rPr>
          <w:rFonts w:ascii="仿宋_GB2312" w:eastAsia="仿宋_GB2312"/>
          <w:color w:val="000000"/>
          <w:sz w:val="32"/>
          <w:szCs w:val="32"/>
        </w:rPr>
        <w:t>%</w:t>
      </w:r>
      <w:r>
        <w:rPr>
          <w:rFonts w:hint="eastAsia" w:ascii="仿宋_GB2312" w:eastAsia="仿宋_GB2312"/>
          <w:color w:val="000000"/>
          <w:sz w:val="32"/>
          <w:szCs w:val="32"/>
        </w:rPr>
        <w:t>。主要原因是严格控制接待标准及接待人数。</w:t>
      </w:r>
    </w:p>
    <w:p>
      <w:pPr>
        <w:spacing w:line="45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122批次，1267人次（不包括陪同人员），共计支出4.67万元，具体内容包括：用于扶贫开发、产业发展、CD级危房改造、环境整治、非洲猪瘟防控、公益性一事一议财政奖补建设、公路交通安全、统计调查、民生保障、以及保障镇行政机关和直属事业单位等机构为完成特定的行政工作任务或事业发展目标，用于专项业务工作的检查等接待费用开支。</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p>
    <w:p>
      <w:pPr>
        <w:spacing w:line="600" w:lineRule="exact"/>
        <w:ind w:firstLine="640"/>
        <w:rPr>
          <w:rFonts w:ascii="黑体" w:eastAsia="黑体"/>
          <w:sz w:val="32"/>
          <w:szCs w:val="32"/>
        </w:rPr>
      </w:pPr>
      <w:r>
        <w:rPr>
          <w:rFonts w:hint="eastAsia" w:ascii="仿宋" w:hAnsi="仿宋" w:eastAsia="仿宋"/>
          <w:b/>
          <w:sz w:val="32"/>
          <w:szCs w:val="32"/>
        </w:rPr>
        <w:t>其他国内公务接待支出</w:t>
      </w:r>
      <w:r>
        <w:rPr>
          <w:rFonts w:hint="eastAsia" w:ascii="仿宋" w:hAnsi="仿宋" w:eastAsia="仿宋"/>
          <w:sz w:val="32"/>
          <w:szCs w:val="32"/>
        </w:rPr>
        <w:t>0</w:t>
      </w:r>
      <w:r>
        <w:rPr>
          <w:rFonts w:hint="eastAsia" w:ascii="仿宋_GB2312" w:eastAsia="仿宋_GB2312"/>
          <w:sz w:val="32"/>
          <w:szCs w:val="32"/>
        </w:rPr>
        <w:t>万元。</w:t>
      </w:r>
      <w:bookmarkStart w:id="46" w:name="_Toc15377218"/>
      <w:bookmarkStart w:id="47" w:name="_Toc15396610"/>
    </w:p>
    <w:p>
      <w:pPr>
        <w:spacing w:line="600" w:lineRule="exact"/>
        <w:ind w:firstLine="640"/>
        <w:outlineLvl w:val="1"/>
        <w:rPr>
          <w:rStyle w:val="28"/>
          <w:rFonts w:ascii="黑体" w:hAnsi="黑体" w:eastAsia="黑体"/>
        </w:rPr>
      </w:pPr>
      <w:r>
        <w:rPr>
          <w:rFonts w:hint="eastAsia" w:ascii="黑体" w:eastAsia="黑体"/>
          <w:color w:val="000000"/>
          <w:sz w:val="32"/>
          <w:szCs w:val="32"/>
        </w:rPr>
        <w:t>八、</w:t>
      </w:r>
      <w:r>
        <w:rPr>
          <w:rStyle w:val="28"/>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8年政府性基金预算拨款支出0万元。</w:t>
      </w:r>
    </w:p>
    <w:p>
      <w:pPr>
        <w:numPr>
          <w:ilvl w:val="0"/>
          <w:numId w:val="2"/>
        </w:numPr>
        <w:spacing w:line="600" w:lineRule="exact"/>
        <w:ind w:firstLine="640"/>
        <w:outlineLvl w:val="1"/>
        <w:rPr>
          <w:rStyle w:val="28"/>
          <w:rFonts w:ascii="黑体" w:hAnsi="黑体" w:eastAsia="黑体"/>
          <w:b w:val="0"/>
        </w:rPr>
      </w:pPr>
      <w:bookmarkStart w:id="48" w:name="_Toc15396611"/>
      <w:bookmarkStart w:id="49" w:name="_Toc15377219"/>
      <w:r>
        <w:rPr>
          <w:rStyle w:val="28"/>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8年国有资本经营预算拨款支出0万元。</w:t>
      </w:r>
    </w:p>
    <w:p>
      <w:pPr>
        <w:pStyle w:val="18"/>
        <w:numPr>
          <w:ilvl w:val="0"/>
          <w:numId w:val="3"/>
        </w:numPr>
        <w:spacing w:line="580" w:lineRule="exact"/>
        <w:ind w:firstLineChars="0"/>
        <w:rPr>
          <w:rStyle w:val="28"/>
          <w:rFonts w:ascii="黑体" w:hAnsi="黑体" w:eastAsia="黑体"/>
          <w:b w:val="0"/>
        </w:rPr>
      </w:pPr>
      <w:r>
        <w:rPr>
          <w:rStyle w:val="28"/>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16个项目开展了预算事前绩效评估，对6个项目编制了绩效目标，预算执行过程中，选取5个项目开展绩效监控，年终执行完毕后，对3个项目开展了绩效目标完成情况梳理填报。</w:t>
      </w:r>
    </w:p>
    <w:p>
      <w:pPr>
        <w:spacing w:line="4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开展绩效自评，从评价情况来看涉及16个项目总体完成情况较好，达到了年初预算目的，有效解决了部门运行中迫切需要解决的资金需求问题，为各项工作的顺利推进打下了良好基础，促进了各项工作的顺利推进。</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r>
      <w:r>
        <w:rPr>
          <w:rFonts w:hint="eastAsia" w:ascii="仿宋_GB2312" w:hAnsi="仿宋_GB2312" w:eastAsia="仿宋_GB2312" w:cs="仿宋_GB2312"/>
          <w:sz w:val="32"/>
          <w:szCs w:val="32"/>
        </w:rPr>
        <w:t xml:space="preserve">    本部门在2018年度部门决算中反映“脱贫攻坚经费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、“统计信息事务”、“农村环境整治经费”等3个项目绩效目标实际完成情况。</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统计信息事务项目绩效目标完成情况综述。项目全年预算数3.44万元，执行数为3.44万元，完成预算的100%。通过项目实施，统计抽样调查队开展各类统计调查工作（含统计计账户、粮食生产监测点工作），为上级统计部门提供辖区内相关数据支撑。发现的主要问题：统计抽样调查难度大，不确定因数多，多因数影响统计结果。下一步改进措施：克服各种困难，做到统计结果真实准确。</w:t>
      </w:r>
    </w:p>
    <w:p>
      <w:pPr>
        <w:numPr>
          <w:ilvl w:val="0"/>
          <w:numId w:val="6"/>
        </w:numPr>
        <w:spacing w:line="58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农村环境整治经费项目绩效目标完成情况综述。项目全年预算数17.99万元，执行数为17.99万元，完成预算的100%。通过项目实施，做好镇乡垃圾清运；保障环保人员待遇问题；购买污水处理厂等设备，发现的主要问题：垃圾清运工工资待遇低，环境污染严重。下一步改进措施：提高垃圾工人工资，宣传环保意识。</w:t>
      </w:r>
    </w:p>
    <w:p>
      <w:pPr>
        <w:pStyle w:val="18"/>
        <w:numPr>
          <w:ilvl w:val="0"/>
          <w:numId w:val="5"/>
        </w:numPr>
        <w:spacing w:line="580" w:lineRule="exact"/>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脱贫攻坚工作经费项目绩效目标完成情况综述。项目全年预算数6.4万元，执行数为6.4万元，完成预算的100%。通过项目实施，保障贫困户满足退出标准（两不愁，三保障），保障贫困户的收入来源；保障扶贫政策落实到位，发现的主要问题：贫困户功能不完善，宣传、引导意识不强。下一步改进措施：加大对脱贫攻坚的经费补助，做到精准脱贫。</w:t>
      </w: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tbl>
      <w:tblPr>
        <w:tblStyle w:val="16"/>
        <w:tblpPr w:leftFromText="180" w:rightFromText="180" w:vertAnchor="text" w:horzAnchor="page" w:tblpXSpec="center" w:tblpY="423"/>
        <w:tblOverlap w:val="never"/>
        <w:tblW w:w="99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149"/>
        <w:gridCol w:w="993"/>
        <w:gridCol w:w="1275"/>
        <w:gridCol w:w="1757"/>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18"/>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r>
            <w:r>
              <w:rPr>
                <w:rFonts w:hint="eastAsia" w:ascii="宋体" w:hAnsi="宋体" w:cs="宋体"/>
                <w:color w:val="000000"/>
                <w:kern w:val="0"/>
                <w:sz w:val="36"/>
                <w:szCs w:val="36"/>
              </w:rPr>
              <w:t>(2018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76" w:hRule="atLeast"/>
        </w:trPr>
        <w:tc>
          <w:tcPr>
            <w:tcW w:w="34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654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统计信息事务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76" w:hRule="atLeast"/>
        </w:trPr>
        <w:tc>
          <w:tcPr>
            <w:tcW w:w="34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654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争胜镇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76" w:hRule="atLeast"/>
        </w:trPr>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预算执行情况(万元)</w:t>
            </w:r>
          </w:p>
        </w:tc>
        <w:tc>
          <w:tcPr>
            <w:tcW w:w="226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3.44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76"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226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hint="eastAsia" w:ascii="宋体" w:cs="宋体"/>
                <w:color w:val="000000"/>
                <w:kern w:val="0"/>
                <w:sz w:val="24"/>
              </w:rPr>
              <w:t>-</w:t>
            </w:r>
            <w:r>
              <w:rPr>
                <w:rFonts w:hint="eastAsia" w:ascii="宋体" w:hAnsi="宋体" w:cs="宋体"/>
                <w:color w:val="000000"/>
                <w:kern w:val="0"/>
                <w:sz w:val="24"/>
              </w:rPr>
              <w:t>财政拨款:</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3.44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hint="eastAsia" w:ascii="宋体" w:cs="宋体"/>
                <w:color w:val="000000"/>
                <w:kern w:val="0"/>
                <w:sz w:val="24"/>
              </w:rPr>
              <w:t>-</w:t>
            </w:r>
            <w:r>
              <w:rPr>
                <w:rFonts w:hint="eastAsia" w:ascii="宋体" w:hAnsi="宋体" w:cs="宋体"/>
                <w:color w:val="000000"/>
                <w:kern w:val="0"/>
                <w:sz w:val="24"/>
              </w:rPr>
              <w:t>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511"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226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76" w:hRule="atLeast"/>
        </w:trPr>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0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159"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40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统计抽样调查队开展各类统计调查工作（含统计记账户、粮食生产监测点工作），为上级统计部门提供辖区内相关数据支撑。</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统计抽样调查队开展各类统计调查工作（含统计记账户、粮食生产监测点工作），为上级统计部门提供辖区内相关数据支撑。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042" w:hRule="atLeast"/>
        </w:trPr>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953"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下村开展统计工作</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1.2万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下村开展统计工作2次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下村开展统计工作2次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297"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住户调查（含记账户）</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2.24万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开展住户调查2次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开展住户调查2次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88"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2018年12月底前完成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042"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可持续影响指标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普查覆盖率提升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有所提升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297"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社会效益指标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开展住户调查（含统计记账户），粮食生产监测点工作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为上级统计部门提供辖区内相关数据支撑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050"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满意度指标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仿宋_GB2312" w:eastAsia="仿宋_GB2312"/>
                <w:color w:val="000000"/>
                <w:sz w:val="32"/>
                <w:szCs w:val="32"/>
              </w:rPr>
              <w:t>≥</w:t>
            </w:r>
            <w:r>
              <w:rPr>
                <w:rFonts w:hint="eastAsia" w:ascii="仿宋_GB2312" w:eastAsia="仿宋_GB2312"/>
                <w:color w:val="000000"/>
                <w:sz w:val="32"/>
                <w:szCs w:val="32"/>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仿宋_GB2312" w:eastAsia="仿宋_GB2312"/>
                <w:color w:val="000000"/>
                <w:sz w:val="32"/>
                <w:szCs w:val="32"/>
              </w:rPr>
              <w:t>≥</w:t>
            </w:r>
            <w:r>
              <w:rPr>
                <w:rFonts w:hint="eastAsia" w:ascii="仿宋_GB2312" w:eastAsia="仿宋_GB2312"/>
                <w:color w:val="000000"/>
                <w:sz w:val="32"/>
                <w:szCs w:val="32"/>
              </w:rPr>
              <w:t>95%</w:t>
            </w:r>
          </w:p>
        </w:tc>
      </w:tr>
    </w:tbl>
    <w:p>
      <w:pPr>
        <w:spacing w:line="580" w:lineRule="exact"/>
        <w:rPr>
          <w:rFonts w:ascii="仿宋_GB2312" w:hAnsi="仿宋_GB2312" w:eastAsia="仿宋_GB2312" w:cs="仿宋_GB2312"/>
          <w:sz w:val="32"/>
          <w:szCs w:val="32"/>
        </w:rPr>
      </w:pPr>
    </w:p>
    <w:tbl>
      <w:tblPr>
        <w:tblStyle w:val="16"/>
        <w:tblpPr w:leftFromText="180" w:rightFromText="180" w:vertAnchor="text" w:horzAnchor="page" w:tblpXSpec="center" w:tblpY="423"/>
        <w:tblOverlap w:val="never"/>
        <w:tblW w:w="95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279"/>
        <w:gridCol w:w="1004"/>
        <w:gridCol w:w="284"/>
        <w:gridCol w:w="709"/>
        <w:gridCol w:w="1134"/>
        <w:gridCol w:w="1417"/>
        <w:gridCol w:w="1843"/>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87" w:hRule="atLeast"/>
        </w:trPr>
        <w:tc>
          <w:tcPr>
            <w:tcW w:w="256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5103"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农村环境整治经费</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76" w:hRule="atLeast"/>
        </w:trPr>
        <w:tc>
          <w:tcPr>
            <w:tcW w:w="256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5103"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争胜镇</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49" w:hRule="atLeast"/>
        </w:trPr>
        <w:tc>
          <w:tcPr>
            <w:tcW w:w="127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128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8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17.99</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17.99</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829" w:hRule="atLeast"/>
        </w:trPr>
        <w:tc>
          <w:tcPr>
            <w:tcW w:w="12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28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8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17.99</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17.99</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29" w:hRule="atLeast"/>
        </w:trPr>
        <w:tc>
          <w:tcPr>
            <w:tcW w:w="12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28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8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41" w:hRule="atLeast"/>
        </w:trPr>
        <w:tc>
          <w:tcPr>
            <w:tcW w:w="127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3131"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32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947" w:hRule="atLeast"/>
        </w:trPr>
        <w:tc>
          <w:tcPr>
            <w:tcW w:w="12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3131"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做好镇乡垃圾清运；保障环保人员待遇问题；购买污水处理厂等设备</w:t>
            </w:r>
          </w:p>
        </w:tc>
        <w:tc>
          <w:tcPr>
            <w:tcW w:w="32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整体与预算目标一致</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60" w:hRule="atLeast"/>
        </w:trPr>
        <w:tc>
          <w:tcPr>
            <w:tcW w:w="127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99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823" w:hRule="atLeast"/>
        </w:trPr>
        <w:tc>
          <w:tcPr>
            <w:tcW w:w="12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99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数量及成本指标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垃圾清运</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数次，10.21万元</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整体与预算指标一致</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92" w:hRule="atLeast"/>
        </w:trPr>
        <w:tc>
          <w:tcPr>
            <w:tcW w:w="12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99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数量及成本指标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环保工人待遇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8个，7.78万元</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整体与预算指标一致</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079" w:hRule="atLeast"/>
        </w:trPr>
        <w:tc>
          <w:tcPr>
            <w:tcW w:w="12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99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质量指标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空气质量指数</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达到环保要求</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整体与预算指标一致</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07" w:hRule="atLeast"/>
        </w:trPr>
        <w:tc>
          <w:tcPr>
            <w:tcW w:w="12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99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时效指标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完成时间</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2018年12月</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整体与预算指标一致</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270" w:hRule="atLeast"/>
        </w:trPr>
        <w:tc>
          <w:tcPr>
            <w:tcW w:w="12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99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经济效益指标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人居环境得到提升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居民生活环境舒适，吸引外来企业和商家</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整体与预算指标一致</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078" w:hRule="atLeast"/>
        </w:trPr>
        <w:tc>
          <w:tcPr>
            <w:tcW w:w="12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99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社会效益指标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加强环保工作顺利推动</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提升镇乡环境质量</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整体与预算指标一致</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120" w:hRule="atLeast"/>
        </w:trPr>
        <w:tc>
          <w:tcPr>
            <w:tcW w:w="12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99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生态效益指标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污染物以及垃圾量</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减少</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整体与预算指标一致</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122" w:hRule="atLeast"/>
        </w:trPr>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99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可持续影响指标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提升人居环境，改善空气质量</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提升农民幸福指数</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整体与预算指标一致</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110" w:hRule="atLeast"/>
        </w:trPr>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99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群众满意度</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≥94</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整体与预算指标一致</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spacing w:line="580" w:lineRule="exact"/>
        <w:rPr>
          <w:rFonts w:ascii="仿宋_GB2312" w:hAnsi="仿宋_GB2312" w:eastAsia="仿宋_GB2312" w:cs="仿宋_GB2312"/>
          <w:sz w:val="32"/>
          <w:szCs w:val="32"/>
        </w:rPr>
      </w:pPr>
    </w:p>
    <w:tbl>
      <w:tblPr>
        <w:tblStyle w:val="16"/>
        <w:tblpPr w:leftFromText="180" w:rightFromText="180" w:vertAnchor="text" w:horzAnchor="page" w:tblpXSpec="center" w:tblpY="423"/>
        <w:tblOverlap w:val="never"/>
        <w:tblW w:w="99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149"/>
        <w:gridCol w:w="1560"/>
        <w:gridCol w:w="1134"/>
        <w:gridCol w:w="567"/>
        <w:gridCol w:w="1275"/>
        <w:gridCol w:w="1883"/>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76" w:hRule="atLeast"/>
        </w:trPr>
        <w:tc>
          <w:tcPr>
            <w:tcW w:w="384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117"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脱贫攻坚经费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76" w:hRule="atLeast"/>
        </w:trPr>
        <w:tc>
          <w:tcPr>
            <w:tcW w:w="384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117"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争胜镇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76" w:hRule="atLeast"/>
        </w:trPr>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69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6.4</w:t>
            </w:r>
          </w:p>
        </w:tc>
        <w:tc>
          <w:tcPr>
            <w:tcW w:w="1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76"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69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6.4</w:t>
            </w:r>
          </w:p>
        </w:tc>
        <w:tc>
          <w:tcPr>
            <w:tcW w:w="1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0"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69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1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76" w:hRule="atLeast"/>
        </w:trPr>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5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2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65"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5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保障贫困户满足退出标准（两不愁，三保障），保障贫困户的收入来源；保障扶贫政策落实到位</w:t>
            </w:r>
          </w:p>
        </w:tc>
        <w:tc>
          <w:tcPr>
            <w:tcW w:w="42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整体与预算目标一致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042" w:hRule="atLeast"/>
        </w:trPr>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1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82"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数量及成本指标</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慰问</w:t>
            </w:r>
          </w:p>
        </w:tc>
        <w:tc>
          <w:tcPr>
            <w:tcW w:w="1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1次，0.8万元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整体与预算指标一致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930"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数量及成本指标</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宣传</w:t>
            </w:r>
          </w:p>
        </w:tc>
        <w:tc>
          <w:tcPr>
            <w:tcW w:w="1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2次，4.4万元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整体与预算指标一致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816"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数量及成本指标</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资料费</w:t>
            </w:r>
          </w:p>
        </w:tc>
        <w:tc>
          <w:tcPr>
            <w:tcW w:w="1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4次，1.2万元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整体与预算指标一致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03"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完成时间</w:t>
            </w:r>
          </w:p>
        </w:tc>
        <w:tc>
          <w:tcPr>
            <w:tcW w:w="1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整体与预算指标一致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042"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介绍贫困户去相邻的厂上班</w:t>
            </w:r>
          </w:p>
        </w:tc>
        <w:tc>
          <w:tcPr>
            <w:tcW w:w="1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增加经济收入来源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整体与预算指标一致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810"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贫困户数量</w:t>
            </w:r>
          </w:p>
        </w:tc>
        <w:tc>
          <w:tcPr>
            <w:tcW w:w="1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大幅度减少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整体与预算指标一致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813"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精准扶贫；精准脱贫</w:t>
            </w:r>
          </w:p>
        </w:tc>
        <w:tc>
          <w:tcPr>
            <w:tcW w:w="1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奔向小康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整体与预算指标一致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84"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群众满意度</w:t>
            </w:r>
          </w:p>
        </w:tc>
        <w:tc>
          <w:tcPr>
            <w:tcW w:w="1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≥96</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整体与预算指标一致</w:t>
            </w:r>
          </w:p>
        </w:tc>
      </w:tr>
    </w:tbl>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本部门按要求对2018年部门整体支出绩效评价情况开展自评，《三台县争胜镇2018年部门整体支出绩效评价报告》见附件。</w:t>
      </w:r>
    </w:p>
    <w:p>
      <w:pPr>
        <w:spacing w:line="600" w:lineRule="exact"/>
        <w:ind w:firstLine="800" w:firstLineChars="250"/>
        <w:outlineLvl w:val="1"/>
        <w:rPr>
          <w:rStyle w:val="28"/>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8"/>
          <w:rFonts w:hint="eastAsia" w:ascii="黑体" w:hAnsi="黑体" w:eastAsia="黑体"/>
        </w:rPr>
        <w:t>一、</w:t>
      </w:r>
      <w:r>
        <w:rPr>
          <w:rStyle w:val="28"/>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8年，争胜镇机关运行经费支出142.69万元，比</w:t>
      </w:r>
      <w:r>
        <w:rPr>
          <w:rFonts w:ascii="仿宋_GB2312" w:eastAsia="仿宋_GB2312"/>
          <w:color w:val="000000"/>
          <w:sz w:val="32"/>
          <w:szCs w:val="32"/>
        </w:rPr>
        <w:t>201</w:t>
      </w:r>
      <w:r>
        <w:rPr>
          <w:rFonts w:hint="eastAsia" w:ascii="仿宋_GB2312" w:eastAsia="仿宋_GB2312"/>
          <w:color w:val="000000"/>
          <w:sz w:val="32"/>
          <w:szCs w:val="32"/>
        </w:rPr>
        <w:t>7年增加20.23万元，增长16.51</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B0F0"/>
          <w:sz w:val="32"/>
          <w:szCs w:val="32"/>
        </w:rPr>
        <w:t>办公水电费用增加、脱贫攻坚差旅费增加。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8年，争胜政府采购支出总额0万元，其中：政府采购货物支出0万元、政府采购工程支出0万元、政府采购服务支出0万元。授予中小企业合同金额0万元，占政府采购支出总额的0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b/>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日，争胜镇共有车辆1辆，其中：部级领导干部用车0辆、一般公务用车0辆、一般执法执勤用车0辆、特种专业技术用车0辆、其他用车0辆。单价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7"/>
        </w:numPr>
        <w:spacing w:line="600" w:lineRule="exact"/>
        <w:ind w:firstLine="663" w:firstLineChars="150"/>
        <w:jc w:val="center"/>
        <w:outlineLvl w:val="0"/>
        <w:rPr>
          <w:rStyle w:val="27"/>
          <w:rFonts w:ascii="黑体" w:hAnsi="黑体" w:eastAsia="黑体"/>
          <w:b w:val="0"/>
          <w:color w:val="000000"/>
        </w:rPr>
      </w:pPr>
      <w:bookmarkStart w:id="55" w:name="_Toc15377225"/>
      <w:bookmarkStart w:id="56" w:name="_Toc15396613"/>
      <w:r>
        <w:rPr>
          <w:rFonts w:hint="eastAsia" w:ascii="黑体" w:hAnsi="黑体" w:eastAsia="黑体"/>
          <w:b/>
          <w:color w:val="000000"/>
          <w:sz w:val="44"/>
          <w:szCs w:val="44"/>
        </w:rPr>
        <w:t>名</w:t>
      </w:r>
      <w:r>
        <w:rPr>
          <w:rStyle w:val="27"/>
          <w:rFonts w:hint="eastAsia" w:ascii="黑体" w:hAnsi="黑体" w:eastAsia="黑体"/>
          <w:b w:val="0"/>
          <w:color w:val="000000"/>
        </w:rPr>
        <w:t>词解释</w:t>
      </w:r>
      <w:bookmarkEnd w:id="55"/>
      <w:bookmarkEnd w:id="56"/>
    </w:p>
    <w:p>
      <w:pPr>
        <w:spacing w:line="600" w:lineRule="exact"/>
        <w:jc w:val="left"/>
        <w:rPr>
          <w:rFonts w:ascii="宋体"/>
          <w:b/>
          <w:color w:val="000000"/>
          <w:sz w:val="44"/>
          <w:szCs w:val="44"/>
        </w:rPr>
      </w:pPr>
    </w:p>
    <w:p>
      <w:pPr>
        <w:pStyle w:val="17"/>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财政拨款收入：指单位从同级财政部门取得的财政预算资金。</w:t>
      </w:r>
    </w:p>
    <w:p>
      <w:pPr>
        <w:pStyle w:val="17"/>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事业收入：指事业单位开展专业业务活动及辅助活动取得的收入。</w:t>
      </w:r>
    </w:p>
    <w:p>
      <w:pPr>
        <w:pStyle w:val="17"/>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经营收入：指事业单位在专业业务活动及其辅助活动之外开展非独立核算经营活动取得的收入。</w:t>
      </w:r>
    </w:p>
    <w:p>
      <w:pPr>
        <w:pStyle w:val="17"/>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其他收入：指单位取得的除上述收入以外的各项收入。</w:t>
      </w:r>
    </w:p>
    <w:p>
      <w:pPr>
        <w:pStyle w:val="17"/>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17"/>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6.</w:t>
      </w:r>
      <w:r>
        <w:rPr>
          <w:rFonts w:hint="eastAsia" w:ascii="仿宋_GB2312" w:eastAsia="仿宋_GB2312"/>
          <w:color w:val="000000"/>
          <w:sz w:val="32"/>
          <w:szCs w:val="32"/>
        </w:rPr>
        <w:t>年初结转和结余：指以前年度尚未完成、结转到本年按有关规定继续使用的资金。</w:t>
      </w:r>
    </w:p>
    <w:p>
      <w:pPr>
        <w:pStyle w:val="17"/>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结余分配：指事业单位按照事业单位会计制度的规定从非财政补助结余中分配的事业基金和职工福利基金等。</w:t>
      </w:r>
    </w:p>
    <w:p>
      <w:pPr>
        <w:pStyle w:val="17"/>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8</w:t>
      </w:r>
      <w:r>
        <w:rPr>
          <w:rFonts w:hint="eastAsia" w:ascii="仿宋_GB2312" w:eastAsia="仿宋_GB2312"/>
          <w:color w:val="000000"/>
          <w:sz w:val="32"/>
          <w:szCs w:val="32"/>
        </w:rPr>
        <w:t>、年末结转和结余：指单位按有关规定结转到下年或以后年度继续使用的资金。</w:t>
      </w:r>
    </w:p>
    <w:p>
      <w:pPr>
        <w:pStyle w:val="12"/>
        <w:widowControl/>
        <w:spacing w:line="580" w:lineRule="atLeast"/>
        <w:ind w:firstLine="640"/>
        <w:rPr>
          <w:rFonts w:hint="default" w:ascii="仿宋_GB2312" w:hAnsi="Calibri" w:eastAsia="仿宋_GB2312" w:cs="仿宋"/>
          <w:color w:val="000000"/>
          <w:sz w:val="32"/>
          <w:szCs w:val="32"/>
        </w:rPr>
      </w:pPr>
      <w:r>
        <w:rPr>
          <w:rFonts w:ascii="仿宋_GB2312" w:hAnsi="Calibri" w:eastAsia="仿宋_GB2312" w:cs="仿宋"/>
          <w:color w:val="000000"/>
          <w:sz w:val="32"/>
          <w:szCs w:val="32"/>
        </w:rPr>
        <w:t xml:space="preserve">9.一般公共服务支出（类）人大事务（款）行政运行（项）:指反映行政单位(包括实行公务员管理的事业单位）的基本支出。 </w:t>
      </w:r>
    </w:p>
    <w:p>
      <w:pPr>
        <w:pStyle w:val="12"/>
        <w:widowControl/>
        <w:spacing w:line="580" w:lineRule="atLeast"/>
        <w:ind w:firstLine="640"/>
        <w:rPr>
          <w:rFonts w:hint="default" w:ascii="仿宋_GB2312" w:hAnsi="Calibri" w:eastAsia="仿宋_GB2312" w:cs="仿宋"/>
          <w:color w:val="000000"/>
          <w:sz w:val="32"/>
          <w:szCs w:val="32"/>
        </w:rPr>
      </w:pPr>
      <w:r>
        <w:rPr>
          <w:rFonts w:ascii="仿宋_GB2312" w:hAnsi="Calibri" w:eastAsia="仿宋_GB2312" w:cs="仿宋"/>
          <w:color w:val="000000"/>
          <w:sz w:val="32"/>
          <w:szCs w:val="32"/>
        </w:rPr>
        <w:t xml:space="preserve">10.一般公共服务支出（类）人大事务（款）人大会议（项）:指反映各级人大召开人民代表大会等专门会议的支出。 </w:t>
      </w:r>
    </w:p>
    <w:p>
      <w:pPr>
        <w:pStyle w:val="12"/>
        <w:widowControl/>
        <w:spacing w:line="580" w:lineRule="atLeast"/>
        <w:ind w:firstLine="640"/>
        <w:rPr>
          <w:rFonts w:hint="default" w:ascii="仿宋_GB2312" w:hAnsi="Calibri" w:eastAsia="仿宋_GB2312" w:cs="仿宋"/>
          <w:color w:val="000000"/>
          <w:sz w:val="32"/>
          <w:szCs w:val="32"/>
        </w:rPr>
      </w:pPr>
      <w:r>
        <w:rPr>
          <w:rFonts w:ascii="仿宋_GB2312" w:hAnsi="Calibri" w:eastAsia="仿宋_GB2312" w:cs="仿宋"/>
          <w:color w:val="000000"/>
          <w:sz w:val="32"/>
          <w:szCs w:val="32"/>
        </w:rPr>
        <w:t>11.一般公共服务支出（类）政府办公厅（室）及相关机构事务（款）行政运行（项）:指反映行政单位（包括实行公务员管理的事业单位）的基本支出。</w:t>
      </w:r>
    </w:p>
    <w:p>
      <w:pPr>
        <w:pStyle w:val="12"/>
        <w:widowControl/>
        <w:spacing w:line="580" w:lineRule="atLeast"/>
        <w:ind w:firstLine="640"/>
        <w:rPr>
          <w:rFonts w:hint="default" w:ascii="仿宋_GB2312" w:hAnsi="Calibri" w:eastAsia="仿宋_GB2312" w:cs="仿宋"/>
          <w:color w:val="000000"/>
          <w:sz w:val="32"/>
          <w:szCs w:val="32"/>
        </w:rPr>
      </w:pPr>
      <w:r>
        <w:rPr>
          <w:rFonts w:ascii="仿宋_GB2312" w:hAnsi="Calibri" w:eastAsia="仿宋_GB2312" w:cs="仿宋"/>
          <w:color w:val="000000"/>
          <w:sz w:val="32"/>
          <w:szCs w:val="32"/>
        </w:rPr>
        <w:t>12.一般公共服务支出（类）统计信息事务（款）专项普查活动（项）:指反映统计部门开展人口普查、经济普查、农业普查、投入产出调查等周期性普查工作的支出。</w:t>
      </w:r>
    </w:p>
    <w:p>
      <w:pPr>
        <w:spacing w:line="600" w:lineRule="exact"/>
        <w:ind w:firstLine="640" w:firstLineChars="200"/>
        <w:rPr>
          <w:rFonts w:ascii="宋体" w:hAnsi="宋体" w:cs="仿宋"/>
          <w:color w:val="000000"/>
          <w:kern w:val="0"/>
          <w:sz w:val="32"/>
          <w:szCs w:val="32"/>
        </w:rPr>
      </w:pPr>
      <w:r>
        <w:rPr>
          <w:rFonts w:hint="eastAsia" w:ascii="仿宋_GB2312" w:hAnsi="Calibri" w:eastAsia="仿宋_GB2312" w:cs="仿宋"/>
          <w:color w:val="000000"/>
          <w:kern w:val="0"/>
          <w:sz w:val="32"/>
          <w:szCs w:val="32"/>
        </w:rPr>
        <w:t>13.</w:t>
      </w:r>
      <w:r>
        <w:rPr>
          <w:rFonts w:hint="eastAsia" w:ascii="宋体" w:hAnsi="宋体" w:cs="仿宋"/>
          <w:color w:val="000000"/>
          <w:kern w:val="0"/>
          <w:sz w:val="32"/>
          <w:szCs w:val="32"/>
        </w:rPr>
        <w:t>一般公共服务支出（类）财政事务（款）其他财政事务支出（项）:指反映除上述项目以外其他财政事务方面的支出。</w:t>
      </w:r>
    </w:p>
    <w:p>
      <w:pPr>
        <w:pStyle w:val="12"/>
        <w:widowControl/>
        <w:spacing w:line="580" w:lineRule="atLeast"/>
        <w:ind w:firstLine="640"/>
        <w:rPr>
          <w:rFonts w:hint="default" w:ascii="仿宋_GB2312" w:hAnsi="Calibri" w:eastAsia="仿宋_GB2312" w:cs="仿宋"/>
          <w:color w:val="000000"/>
          <w:sz w:val="32"/>
          <w:szCs w:val="32"/>
        </w:rPr>
      </w:pPr>
      <w:r>
        <w:rPr>
          <w:rFonts w:ascii="仿宋_GB2312" w:hAnsi="Calibri" w:eastAsia="仿宋_GB2312" w:cs="仿宋"/>
          <w:color w:val="000000"/>
          <w:sz w:val="32"/>
          <w:szCs w:val="32"/>
        </w:rPr>
        <w:t>14.一般公共服务支出（类）党委办公厅（室）及相关机构事务（款） 行政运行（项）:指反映行政单位（包括实行公务员管理的事业单位）的基本支出。</w:t>
      </w:r>
    </w:p>
    <w:p>
      <w:pPr>
        <w:pStyle w:val="12"/>
        <w:widowControl/>
        <w:spacing w:line="580" w:lineRule="atLeast"/>
        <w:ind w:firstLine="640"/>
        <w:rPr>
          <w:rFonts w:hint="default" w:ascii="仿宋_GB2312" w:hAnsi="Calibri" w:eastAsia="仿宋_GB2312" w:cs="仿宋"/>
          <w:color w:val="000000"/>
          <w:sz w:val="32"/>
          <w:szCs w:val="32"/>
        </w:rPr>
      </w:pPr>
      <w:r>
        <w:rPr>
          <w:rFonts w:ascii="仿宋_GB2312" w:hAnsi="Calibri" w:eastAsia="仿宋_GB2312" w:cs="仿宋"/>
          <w:color w:val="000000"/>
          <w:sz w:val="32"/>
          <w:szCs w:val="32"/>
        </w:rPr>
        <w:t>15.教育支出（类）进修及培训（款）培训支出（项）:指反映各部门安排的用于培训的支出。教育部门的师资培训，党校、行政学院等专业干部教育机构的支出，以及退役士兵、转业士官的培训支出，不在本科目反映。</w:t>
      </w:r>
    </w:p>
    <w:p>
      <w:pPr>
        <w:pStyle w:val="12"/>
        <w:widowControl/>
        <w:spacing w:line="580" w:lineRule="atLeast"/>
        <w:ind w:firstLine="640"/>
        <w:rPr>
          <w:rFonts w:hint="default" w:ascii="仿宋_GB2312" w:hAnsi="Calibri" w:eastAsia="仿宋_GB2312" w:cs="仿宋"/>
          <w:color w:val="000000"/>
          <w:sz w:val="32"/>
          <w:szCs w:val="32"/>
        </w:rPr>
      </w:pPr>
      <w:r>
        <w:rPr>
          <w:rFonts w:ascii="仿宋_GB2312" w:hAnsi="Calibri" w:eastAsia="仿宋_GB2312" w:cs="仿宋"/>
          <w:color w:val="000000"/>
          <w:sz w:val="32"/>
          <w:szCs w:val="32"/>
        </w:rPr>
        <w:t>16.社会保障和就业支出（类）人力资源和社会保障管理事务（款）其他人力资源和社会保障管理事务支出（项）:指反映除上述项目以外其他用于人力资源和社会保障管理事务方面的支出。</w:t>
      </w:r>
    </w:p>
    <w:p>
      <w:pPr>
        <w:pStyle w:val="12"/>
        <w:widowControl/>
        <w:spacing w:line="580" w:lineRule="atLeast"/>
        <w:ind w:firstLine="640"/>
        <w:rPr>
          <w:rFonts w:hint="default" w:ascii="仿宋_GB2312" w:hAnsi="Calibri" w:eastAsia="仿宋_GB2312" w:cs="仿宋"/>
          <w:color w:val="000000"/>
          <w:sz w:val="32"/>
          <w:szCs w:val="32"/>
        </w:rPr>
      </w:pPr>
      <w:r>
        <w:rPr>
          <w:rFonts w:ascii="仿宋_GB2312" w:hAnsi="Calibri" w:eastAsia="仿宋_GB2312" w:cs="仿宋"/>
          <w:color w:val="000000"/>
          <w:sz w:val="32"/>
          <w:szCs w:val="32"/>
        </w:rPr>
        <w:t>17.社会保障和就业支出（类）行政事业单位离退休（款） 机关事业单位基本养老保险缴费支出（项）:指反映机关事业单位实施养老保险制度由单位缴纳的基本养老保险费支出。</w:t>
      </w:r>
    </w:p>
    <w:p>
      <w:pPr>
        <w:pStyle w:val="12"/>
        <w:widowControl/>
        <w:spacing w:line="580" w:lineRule="atLeast"/>
        <w:ind w:firstLine="640"/>
        <w:rPr>
          <w:rFonts w:hint="default" w:ascii="仿宋_GB2312" w:hAnsi="Calibri" w:eastAsia="仿宋_GB2312" w:cs="仿宋"/>
          <w:color w:val="000000"/>
          <w:sz w:val="32"/>
          <w:szCs w:val="32"/>
        </w:rPr>
      </w:pPr>
      <w:r>
        <w:rPr>
          <w:rFonts w:ascii="仿宋_GB2312" w:hAnsi="Calibri" w:eastAsia="仿宋_GB2312" w:cs="仿宋"/>
          <w:color w:val="000000"/>
          <w:sz w:val="32"/>
          <w:szCs w:val="32"/>
        </w:rPr>
        <w:t>18.社会保障和就业支出（类）抚恤（款） 死亡抚恤（项）:指反映按规定用于烈士和牺牲、病故人员家属的一次性和定期抚恤金及丧葬补助费。</w:t>
      </w:r>
    </w:p>
    <w:p>
      <w:pPr>
        <w:pStyle w:val="12"/>
        <w:widowControl/>
        <w:spacing w:line="580" w:lineRule="atLeast"/>
        <w:ind w:firstLine="640"/>
        <w:rPr>
          <w:rFonts w:hint="default" w:ascii="仿宋_GB2312" w:hAnsi="Calibri" w:eastAsia="仿宋_GB2312" w:cs="仿宋"/>
          <w:color w:val="000000"/>
          <w:sz w:val="32"/>
          <w:szCs w:val="32"/>
        </w:rPr>
      </w:pPr>
      <w:r>
        <w:rPr>
          <w:rFonts w:ascii="仿宋_GB2312" w:hAnsi="Calibri" w:eastAsia="仿宋_GB2312" w:cs="仿宋"/>
          <w:color w:val="000000"/>
          <w:sz w:val="32"/>
          <w:szCs w:val="32"/>
        </w:rPr>
        <w:t>19.社会保障和就业支出（类）抚恤（款）伤残抚恤（项）:指反映按规定用于伤残人员的抚恤金和按规定开支的各种伤残补助费。</w:t>
      </w:r>
    </w:p>
    <w:p>
      <w:pPr>
        <w:pStyle w:val="12"/>
        <w:widowControl/>
        <w:spacing w:line="580" w:lineRule="atLeast"/>
        <w:ind w:firstLine="640"/>
        <w:rPr>
          <w:rFonts w:hint="default" w:ascii="仿宋_GB2312" w:hAnsi="Calibri" w:eastAsia="仿宋_GB2312" w:cs="仿宋"/>
          <w:color w:val="000000"/>
          <w:sz w:val="32"/>
          <w:szCs w:val="32"/>
        </w:rPr>
      </w:pPr>
      <w:r>
        <w:rPr>
          <w:rFonts w:ascii="仿宋_GB2312" w:hAnsi="Calibri" w:eastAsia="仿宋_GB2312" w:cs="仿宋"/>
          <w:color w:val="000000"/>
          <w:sz w:val="32"/>
          <w:szCs w:val="32"/>
        </w:rPr>
        <w:t>20.社会保障和就业支出（类）抚恤（款） 在乡复员、退伍军人生活补助（项）:指反映在乡退伍红军老战士（含西路军红军老战士、红军失散人员）、1954年10月31日前入伍的在乡复员军人、按规定办理带病回乡手续的退伍军人生活补助。</w:t>
      </w:r>
    </w:p>
    <w:p>
      <w:pPr>
        <w:pStyle w:val="12"/>
        <w:widowControl/>
        <w:spacing w:line="580" w:lineRule="atLeast"/>
        <w:ind w:firstLine="640"/>
        <w:rPr>
          <w:rFonts w:hint="default" w:ascii="仿宋_GB2312" w:hAnsi="Calibri" w:eastAsia="仿宋_GB2312" w:cs="仿宋"/>
          <w:color w:val="000000"/>
          <w:sz w:val="32"/>
          <w:szCs w:val="32"/>
        </w:rPr>
      </w:pPr>
      <w:r>
        <w:rPr>
          <w:rFonts w:ascii="仿宋_GB2312" w:hAnsi="Calibri" w:eastAsia="仿宋_GB2312" w:cs="仿宋"/>
          <w:color w:val="000000"/>
          <w:sz w:val="32"/>
          <w:szCs w:val="32"/>
        </w:rPr>
        <w:t>21.社会保障和就业支出（类）抚恤（款） 义务兵优待（项）:指反映用于义务兵优待方面的支出。</w:t>
      </w:r>
    </w:p>
    <w:p>
      <w:pPr>
        <w:pStyle w:val="12"/>
        <w:widowControl/>
        <w:spacing w:line="580" w:lineRule="atLeast"/>
        <w:ind w:firstLine="640"/>
        <w:rPr>
          <w:rFonts w:hint="default" w:ascii="仿宋_GB2312" w:hAnsi="Calibri" w:eastAsia="仿宋_GB2312" w:cs="仿宋"/>
          <w:color w:val="000000"/>
          <w:sz w:val="32"/>
          <w:szCs w:val="32"/>
        </w:rPr>
      </w:pPr>
      <w:r>
        <w:rPr>
          <w:rFonts w:ascii="仿宋_GB2312" w:hAnsi="Calibri" w:eastAsia="仿宋_GB2312" w:cs="仿宋"/>
          <w:color w:val="000000"/>
          <w:sz w:val="32"/>
          <w:szCs w:val="32"/>
        </w:rPr>
        <w:t>22.社会保障和就业支出（类）抚恤（款） 农村籍退役士兵老年生活补助（项）:指反映1954年11月1日试行义务兵役制后至《退役士兵安置条例》实施前入伍、年龄在60周岁以上（含60周岁）、未享受到国家定期抚恤补助的农村籍退役士兵的老年生活补助。</w:t>
      </w:r>
    </w:p>
    <w:p>
      <w:pPr>
        <w:pStyle w:val="12"/>
        <w:widowControl/>
        <w:spacing w:line="580" w:lineRule="atLeast"/>
        <w:ind w:firstLine="640"/>
        <w:rPr>
          <w:rFonts w:hint="default" w:ascii="仿宋_GB2312" w:hAnsi="Calibri" w:eastAsia="仿宋_GB2312" w:cs="仿宋"/>
          <w:color w:val="000000"/>
          <w:sz w:val="32"/>
          <w:szCs w:val="32"/>
        </w:rPr>
      </w:pPr>
      <w:r>
        <w:rPr>
          <w:rFonts w:ascii="仿宋_GB2312" w:hAnsi="Calibri" w:eastAsia="仿宋_GB2312" w:cs="仿宋"/>
          <w:color w:val="000000"/>
          <w:sz w:val="32"/>
          <w:szCs w:val="32"/>
        </w:rPr>
        <w:t>23.社会保障和就业支出（类）社会福利（款） 社会福利事业单位（项）:指反映民政部门举办的社会福利事业单位的支出，以及对集体社会福利事业单位的补助费。</w:t>
      </w:r>
    </w:p>
    <w:p>
      <w:pPr>
        <w:pStyle w:val="12"/>
        <w:widowControl/>
        <w:spacing w:line="580" w:lineRule="atLeast"/>
        <w:ind w:firstLine="640"/>
        <w:rPr>
          <w:rFonts w:hint="default" w:ascii="仿宋_GB2312" w:hAnsi="Calibri" w:eastAsia="仿宋_GB2312" w:cs="仿宋"/>
          <w:color w:val="000000"/>
          <w:sz w:val="32"/>
          <w:szCs w:val="32"/>
        </w:rPr>
      </w:pPr>
      <w:r>
        <w:rPr>
          <w:rFonts w:ascii="仿宋_GB2312" w:hAnsi="Calibri" w:eastAsia="仿宋_GB2312" w:cs="仿宋"/>
          <w:color w:val="000000"/>
          <w:sz w:val="32"/>
          <w:szCs w:val="32"/>
        </w:rPr>
        <w:t xml:space="preserve">24.社会保障和就业支出（类）特困人员供养（款）农村五保供养支出（项）:指反映农村特困人员救助供养支出。 </w:t>
      </w:r>
    </w:p>
    <w:p>
      <w:pPr>
        <w:pStyle w:val="12"/>
        <w:widowControl/>
        <w:spacing w:line="580" w:lineRule="atLeast"/>
        <w:ind w:firstLine="640"/>
        <w:rPr>
          <w:rFonts w:hint="default" w:ascii="仿宋_GB2312" w:hAnsi="Calibri" w:eastAsia="仿宋_GB2312" w:cs="仿宋"/>
          <w:color w:val="auto"/>
          <w:sz w:val="32"/>
          <w:szCs w:val="32"/>
        </w:rPr>
      </w:pPr>
      <w:r>
        <w:rPr>
          <w:rFonts w:ascii="仿宋_GB2312" w:hAnsi="Calibri" w:eastAsia="仿宋_GB2312" w:cs="仿宋"/>
          <w:color w:val="auto"/>
          <w:sz w:val="32"/>
          <w:szCs w:val="32"/>
        </w:rPr>
        <w:t>25.社会保障和就业支出（类）其他生活救助（款）其他农村生活救助（项）:指反映除最低生活保障、临时救助、特困人员供养、自然灾害生活救助外，用于农村生活困难居民生活救助的其他支出。</w:t>
      </w:r>
    </w:p>
    <w:p>
      <w:pPr>
        <w:pStyle w:val="12"/>
        <w:widowControl/>
        <w:spacing w:line="580" w:lineRule="atLeast"/>
        <w:ind w:firstLine="640"/>
        <w:rPr>
          <w:rFonts w:hint="default" w:ascii="仿宋_GB2312" w:hAnsi="Calibri" w:eastAsia="仿宋_GB2312" w:cs="仿宋"/>
          <w:color w:val="auto"/>
          <w:sz w:val="32"/>
          <w:szCs w:val="32"/>
        </w:rPr>
      </w:pPr>
      <w:r>
        <w:rPr>
          <w:rFonts w:ascii="仿宋_GB2312" w:hAnsi="Calibri" w:eastAsia="仿宋_GB2312" w:cs="仿宋"/>
          <w:color w:val="auto"/>
          <w:sz w:val="32"/>
          <w:szCs w:val="32"/>
        </w:rPr>
        <w:t>26.医疗卫生与计划生育支出（类）计划生育事务（款）其他计划生育事务支出（项）:指反映除上述项目以外其他用于计划生育管理事务方面的支出。</w:t>
      </w:r>
    </w:p>
    <w:p>
      <w:pPr>
        <w:pStyle w:val="12"/>
        <w:widowControl/>
        <w:spacing w:line="580" w:lineRule="atLeast"/>
        <w:ind w:firstLine="640"/>
        <w:rPr>
          <w:rFonts w:hint="default" w:ascii="仿宋_GB2312" w:hAnsi="Calibri" w:eastAsia="仿宋_GB2312" w:cs="仿宋"/>
          <w:color w:val="auto"/>
          <w:sz w:val="32"/>
          <w:szCs w:val="32"/>
        </w:rPr>
      </w:pPr>
      <w:r>
        <w:rPr>
          <w:rFonts w:ascii="仿宋_GB2312" w:hAnsi="Calibri" w:eastAsia="仿宋_GB2312" w:cs="仿宋"/>
          <w:color w:val="auto"/>
          <w:sz w:val="32"/>
          <w:szCs w:val="32"/>
        </w:rPr>
        <w:t>27.医疗卫生与计划生育支出（类）医疗保障（款） 行政单位医疗（项）:指反映财政部门集中安排的行政单位基本医疗保险缴费经费，未参加医疗保险的行政单位的公费医疗经费，按国家规定享受离休人员、红军老战士待遇人员的医疗经费。</w:t>
      </w:r>
    </w:p>
    <w:p>
      <w:pPr>
        <w:pStyle w:val="12"/>
        <w:widowControl/>
        <w:spacing w:line="580" w:lineRule="atLeast"/>
        <w:ind w:firstLine="640"/>
        <w:rPr>
          <w:rFonts w:hint="default" w:ascii="仿宋_GB2312" w:hAnsi="Calibri" w:eastAsia="仿宋_GB2312" w:cs="仿宋"/>
          <w:color w:val="auto"/>
          <w:sz w:val="32"/>
          <w:szCs w:val="32"/>
        </w:rPr>
      </w:pPr>
      <w:r>
        <w:rPr>
          <w:rFonts w:ascii="仿宋_GB2312" w:hAnsi="Calibri" w:eastAsia="仿宋_GB2312" w:cs="仿宋"/>
          <w:color w:val="auto"/>
          <w:sz w:val="32"/>
          <w:szCs w:val="32"/>
        </w:rPr>
        <w:t>28.医疗卫生与计划生育支出（类）医疗保障（款）事业单位医疗（项）:指反映财政部门集中安排的事业单位基本医疗保险缴费经费，未参加医疗保险的事业单位的公费医疗经费，按国家规定享受离休人员待遇人员的医疗经费。</w:t>
      </w:r>
    </w:p>
    <w:p>
      <w:pPr>
        <w:pStyle w:val="12"/>
        <w:widowControl/>
        <w:spacing w:line="580" w:lineRule="atLeast"/>
        <w:ind w:firstLine="640"/>
        <w:rPr>
          <w:rFonts w:hint="default" w:ascii="仿宋_GB2312" w:hAnsi="Calibri" w:eastAsia="仿宋_GB2312" w:cs="仿宋"/>
          <w:color w:val="auto"/>
          <w:sz w:val="32"/>
          <w:szCs w:val="32"/>
        </w:rPr>
      </w:pPr>
      <w:r>
        <w:rPr>
          <w:rFonts w:ascii="仿宋_GB2312" w:hAnsi="Calibri" w:eastAsia="仿宋_GB2312" w:cs="仿宋"/>
          <w:color w:val="auto"/>
          <w:sz w:val="32"/>
          <w:szCs w:val="32"/>
        </w:rPr>
        <w:t>29.节能环保支出（类）自然生态保护（款）农村环境保护（项）:指反映用于农村环境保护方面的支出。有关事项包括：农村环境综合整治，如生活垃圾、污水处理，农村饮用水源地监测与保护等；小城镇环境保护，如小城镇环境保护能力建设及环境基础设施建设，环境优美乡镇及生态村创建等；农用化学品（化肥、农药、农膜等）污染防治、畜禽养殖污染防治、土壤污染防治；农产品产地环境监测与监管，有机食品基地建设与管理，秸秆等农业废弃物综合利用；农村环境保护能力建设、宣传、试点示范等。</w:t>
      </w:r>
    </w:p>
    <w:p>
      <w:pPr>
        <w:pStyle w:val="12"/>
        <w:widowControl/>
        <w:spacing w:line="580" w:lineRule="atLeast"/>
        <w:ind w:firstLine="640"/>
        <w:rPr>
          <w:rFonts w:hint="default" w:ascii="仿宋_GB2312" w:hAnsi="Calibri" w:eastAsia="仿宋_GB2312" w:cs="仿宋"/>
          <w:color w:val="auto"/>
          <w:sz w:val="32"/>
          <w:szCs w:val="32"/>
        </w:rPr>
      </w:pPr>
      <w:r>
        <w:rPr>
          <w:rFonts w:ascii="仿宋_GB2312" w:hAnsi="Calibri" w:eastAsia="仿宋_GB2312" w:cs="仿宋"/>
          <w:color w:val="auto"/>
          <w:sz w:val="32"/>
          <w:szCs w:val="32"/>
        </w:rPr>
        <w:t>30.城乡社区支出（类）城乡社区管理事务（款）其他城乡社区管理事务支出（项）:指反映除上述项目以外其他用于城乡社区管理事务方面的支出。</w:t>
      </w:r>
    </w:p>
    <w:p>
      <w:pPr>
        <w:pStyle w:val="12"/>
        <w:widowControl/>
        <w:spacing w:line="580" w:lineRule="atLeast"/>
        <w:ind w:firstLine="640"/>
        <w:rPr>
          <w:rFonts w:hint="default" w:ascii="仿宋_GB2312" w:hAnsi="Calibri" w:eastAsia="仿宋_GB2312" w:cs="仿宋"/>
          <w:color w:val="auto"/>
          <w:sz w:val="32"/>
          <w:szCs w:val="32"/>
        </w:rPr>
      </w:pPr>
      <w:r>
        <w:rPr>
          <w:rFonts w:ascii="仿宋_GB2312" w:hAnsi="Calibri" w:eastAsia="仿宋_GB2312" w:cs="仿宋"/>
          <w:color w:val="auto"/>
          <w:sz w:val="32"/>
          <w:szCs w:val="32"/>
        </w:rPr>
        <w:t>31.农林水支出（类）农业（款）事业运行（项）:指反映用于农业事业单位基本支出，事业单位设施、系统运行与资产维护等方面的支出。</w:t>
      </w:r>
    </w:p>
    <w:p>
      <w:pPr>
        <w:pStyle w:val="12"/>
        <w:widowControl/>
        <w:spacing w:line="580" w:lineRule="atLeast"/>
        <w:ind w:firstLine="640"/>
        <w:rPr>
          <w:rFonts w:hint="default" w:ascii="仿宋_GB2312" w:hAnsi="Calibri" w:eastAsia="仿宋_GB2312" w:cs="仿宋"/>
          <w:color w:val="auto"/>
          <w:sz w:val="32"/>
          <w:szCs w:val="32"/>
        </w:rPr>
      </w:pPr>
      <w:r>
        <w:rPr>
          <w:rFonts w:ascii="仿宋_GB2312" w:hAnsi="Calibri" w:eastAsia="仿宋_GB2312" w:cs="仿宋"/>
          <w:color w:val="auto"/>
          <w:sz w:val="32"/>
          <w:szCs w:val="32"/>
        </w:rPr>
        <w:t>32.农林水支出（类）扶贫（款） 其他扶贫支出（项）:指反映除上述项目以外其他用于扶贫方面的支出。</w:t>
      </w:r>
    </w:p>
    <w:p>
      <w:pPr>
        <w:pStyle w:val="12"/>
        <w:widowControl/>
        <w:spacing w:line="580" w:lineRule="atLeast"/>
        <w:ind w:firstLine="640"/>
        <w:rPr>
          <w:rFonts w:hint="default" w:ascii="仿宋_GB2312" w:hAnsi="Calibri" w:eastAsia="仿宋_GB2312" w:cs="仿宋"/>
          <w:color w:val="auto"/>
          <w:sz w:val="32"/>
          <w:szCs w:val="32"/>
        </w:rPr>
      </w:pPr>
      <w:r>
        <w:rPr>
          <w:rFonts w:ascii="仿宋_GB2312" w:hAnsi="Calibri" w:eastAsia="仿宋_GB2312" w:cs="仿宋"/>
          <w:color w:val="auto"/>
          <w:sz w:val="32"/>
          <w:szCs w:val="32"/>
        </w:rPr>
        <w:t>33.农林水支出（类）农村综合改革（款）对村级一事一议的补助（项）:指反映农村税费改革后对村级公益事业建设一事一议的补助支出。</w:t>
      </w:r>
    </w:p>
    <w:p>
      <w:pPr>
        <w:pStyle w:val="12"/>
        <w:widowControl/>
        <w:spacing w:line="580" w:lineRule="atLeast"/>
        <w:ind w:firstLine="640"/>
        <w:rPr>
          <w:rFonts w:hint="default" w:ascii="仿宋_GB2312" w:hAnsi="Calibri" w:eastAsia="仿宋_GB2312" w:cs="仿宋"/>
          <w:color w:val="auto"/>
          <w:sz w:val="32"/>
          <w:szCs w:val="32"/>
        </w:rPr>
      </w:pPr>
      <w:r>
        <w:rPr>
          <w:rFonts w:ascii="仿宋_GB2312" w:hAnsi="Calibri" w:eastAsia="仿宋_GB2312" w:cs="仿宋"/>
          <w:color w:val="auto"/>
          <w:sz w:val="32"/>
          <w:szCs w:val="32"/>
        </w:rPr>
        <w:t>34.农林水支出（类）农村综合改革（款）对村民委员会和村党支部的补助（项）:指反映各级财政对村民委员会和村党支部的补助支出，以及支持建立县级基本财力保障机制安排的村级组织运转奖补资金。</w:t>
      </w:r>
    </w:p>
    <w:p>
      <w:pPr>
        <w:pStyle w:val="12"/>
        <w:widowControl/>
        <w:spacing w:line="580" w:lineRule="atLeast"/>
        <w:ind w:firstLine="640"/>
        <w:rPr>
          <w:rFonts w:hint="default" w:ascii="仿宋_GB2312" w:hAnsi="Calibri" w:eastAsia="仿宋_GB2312" w:cs="仿宋"/>
          <w:color w:val="auto"/>
          <w:sz w:val="32"/>
          <w:szCs w:val="32"/>
        </w:rPr>
      </w:pPr>
      <w:r>
        <w:rPr>
          <w:rFonts w:ascii="仿宋_GB2312" w:hAnsi="Calibri" w:eastAsia="仿宋_GB2312" w:cs="仿宋"/>
          <w:color w:val="auto"/>
          <w:sz w:val="32"/>
          <w:szCs w:val="32"/>
        </w:rPr>
        <w:t>35.交通运输支出（类）公路水路运输（款）公路和运输安全（项）:指反映公路和运输安全的支持。</w:t>
      </w:r>
    </w:p>
    <w:p>
      <w:pPr>
        <w:pStyle w:val="12"/>
        <w:widowControl/>
        <w:spacing w:line="580" w:lineRule="atLeast"/>
        <w:ind w:firstLine="640"/>
        <w:rPr>
          <w:rFonts w:hint="default" w:ascii="仿宋_GB2312" w:hAnsi="Calibri" w:eastAsia="仿宋_GB2312" w:cs="仿宋"/>
          <w:color w:val="auto"/>
          <w:sz w:val="32"/>
          <w:szCs w:val="32"/>
        </w:rPr>
      </w:pPr>
      <w:r>
        <w:rPr>
          <w:rFonts w:ascii="仿宋_GB2312" w:hAnsi="Calibri" w:eastAsia="仿宋_GB2312" w:cs="仿宋"/>
          <w:color w:val="auto"/>
          <w:sz w:val="32"/>
          <w:szCs w:val="32"/>
        </w:rPr>
        <w:t>36.住房保障支出（类）住房改革支出（款）住房公积金（项）:指反映行政事业单位按人力资源和社会保障部、财政部规定的基本工资和津贴补贴以及规定比例为职工缴纳的住房公积金。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w:t>
      </w:r>
      <w:r>
        <w:rPr>
          <w:rFonts w:ascii="仿宋_GB2312" w:eastAsia="仿宋_GB2312"/>
          <w:color w:val="000000"/>
          <w:sz w:val="32"/>
          <w:szCs w:val="32"/>
        </w:rPr>
        <w:t>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w:t>
      </w:r>
      <w:r>
        <w:rPr>
          <w:rFonts w:ascii="仿宋_GB2312" w:eastAsia="仿宋_GB2312"/>
          <w:color w:val="000000"/>
          <w:sz w:val="32"/>
          <w:szCs w:val="32"/>
        </w:rPr>
        <w:t>8.</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w:t>
      </w:r>
      <w:r>
        <w:rPr>
          <w:rFonts w:ascii="仿宋_GB2312" w:eastAsia="仿宋_GB2312"/>
          <w:color w:val="000000"/>
          <w:sz w:val="32"/>
          <w:szCs w:val="32"/>
        </w:rPr>
        <w:t>9.</w:t>
      </w:r>
      <w:r>
        <w:rPr>
          <w:rFonts w:hint="eastAsia" w:ascii="仿宋_GB2312" w:eastAsia="仿宋_GB2312"/>
          <w:color w:val="000000"/>
          <w:sz w:val="32"/>
          <w:szCs w:val="32"/>
        </w:rPr>
        <w:t>经营支出：指事业单位在专业业务活动及其辅助活动之外开展非独立核算经营活动发生的支出。</w:t>
      </w:r>
    </w:p>
    <w:p>
      <w:pPr>
        <w:pStyle w:val="17"/>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7"/>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7"/>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7"/>
          <w:rFonts w:hint="eastAsia" w:ascii="黑体" w:hAnsi="黑体" w:eastAsia="黑体"/>
          <w:b w:val="0"/>
        </w:rPr>
        <w:t>四部分 附件</w:t>
      </w:r>
      <w:bookmarkEnd w:id="58"/>
    </w:p>
    <w:p>
      <w:pPr>
        <w:spacing w:line="600" w:lineRule="exact"/>
        <w:jc w:val="center"/>
        <w:outlineLvl w:val="0"/>
        <w:rPr>
          <w:rStyle w:val="27"/>
        </w:rPr>
      </w:pPr>
    </w:p>
    <w:p>
      <w:pPr>
        <w:pStyle w:val="3"/>
        <w:rPr>
          <w:rStyle w:val="27"/>
          <w:rFonts w:ascii="仿宋" w:hAnsi="仿宋" w:eastAsia="仿宋"/>
          <w:b w:val="0"/>
          <w:bCs w:val="0"/>
          <w:sz w:val="32"/>
          <w:szCs w:val="32"/>
        </w:rPr>
      </w:pPr>
      <w:bookmarkStart w:id="59" w:name="_Toc15396615"/>
      <w:r>
        <w:rPr>
          <w:rStyle w:val="27"/>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三台县争胜镇2018年部门整体支出绩效评价报告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本部门（单位）下属一级预算单位，无下级预算单位</w:t>
      </w:r>
    </w:p>
    <w:p>
      <w:pPr>
        <w:numPr>
          <w:ilvl w:val="0"/>
          <w:numId w:val="8"/>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机构职能。</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争胜镇下属单位4个，其中行政单位1个，其他事业单位3个，分别是镇社会事务服务中心、镇农业服务中心、镇敬老院。</w:t>
      </w:r>
    </w:p>
    <w:p>
      <w:pPr>
        <w:numPr>
          <w:ilvl w:val="0"/>
          <w:numId w:val="8"/>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人员概况。</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本单位行政编制13人，工勤人员编制1人,事业编制6人。单位实有公务员12人，工勤人员1人，事业编制5人。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hint="eastAsia" w:ascii="仿宋" w:hAnsi="仿宋" w:eastAsia="仿宋"/>
          <w:color w:val="000000"/>
          <w:sz w:val="32"/>
          <w:szCs w:val="32"/>
        </w:rPr>
        <w:t>争胜镇</w:t>
      </w:r>
      <w:r>
        <w:rPr>
          <w:rFonts w:ascii="仿宋" w:hAnsi="仿宋" w:eastAsia="仿宋"/>
          <w:color w:val="000000"/>
          <w:sz w:val="32"/>
          <w:szCs w:val="32"/>
        </w:rPr>
        <w:t>201</w:t>
      </w:r>
      <w:r>
        <w:rPr>
          <w:rFonts w:hint="eastAsia" w:ascii="仿宋" w:hAnsi="仿宋" w:eastAsia="仿宋"/>
          <w:color w:val="000000"/>
          <w:sz w:val="32"/>
          <w:szCs w:val="32"/>
        </w:rPr>
        <w:t>8年本年收入合计728.42万元，其中：一般公共预算财政拨款收入728.42万元，占100</w:t>
      </w:r>
      <w:r>
        <w:rPr>
          <w:rFonts w:ascii="仿宋" w:hAnsi="仿宋" w:eastAsia="仿宋"/>
          <w:color w:val="000000"/>
          <w:sz w:val="32"/>
          <w:szCs w:val="32"/>
        </w:rPr>
        <w:t>%</w:t>
      </w:r>
      <w:r>
        <w:rPr>
          <w:rFonts w:hint="eastAsia" w:ascii="仿宋" w:hAnsi="仿宋" w:eastAsia="仿宋"/>
          <w:color w:val="000000"/>
          <w:sz w:val="32"/>
          <w:szCs w:val="32"/>
        </w:rPr>
        <w:t>。</w:t>
      </w:r>
    </w:p>
    <w:p>
      <w:pPr>
        <w:numPr>
          <w:ilvl w:val="0"/>
          <w:numId w:val="9"/>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spacing w:line="580" w:lineRule="exact"/>
        <w:ind w:firstLine="640" w:firstLineChars="200"/>
        <w:rPr>
          <w:rFonts w:ascii="仿宋" w:hAnsi="仿宋" w:eastAsia="仿宋" w:cs="仿宋_GB2312"/>
          <w:sz w:val="32"/>
          <w:szCs w:val="32"/>
        </w:rPr>
      </w:pPr>
      <w:r>
        <w:rPr>
          <w:rFonts w:hint="eastAsia" w:ascii="仿宋" w:hAnsi="仿宋" w:eastAsia="仿宋"/>
          <w:color w:val="000000"/>
          <w:sz w:val="32"/>
          <w:szCs w:val="32"/>
        </w:rPr>
        <w:t>争胜镇</w:t>
      </w:r>
      <w:r>
        <w:rPr>
          <w:rFonts w:ascii="仿宋" w:hAnsi="仿宋" w:eastAsia="仿宋"/>
          <w:color w:val="000000"/>
          <w:sz w:val="32"/>
          <w:szCs w:val="32"/>
        </w:rPr>
        <w:t>201</w:t>
      </w:r>
      <w:r>
        <w:rPr>
          <w:rFonts w:hint="eastAsia" w:ascii="仿宋" w:hAnsi="仿宋" w:eastAsia="仿宋"/>
          <w:color w:val="000000"/>
          <w:sz w:val="32"/>
          <w:szCs w:val="32"/>
        </w:rPr>
        <w:t>8年本年支出合计728.42万元，其中：基本支出575.69万元，占79.03</w:t>
      </w:r>
      <w:r>
        <w:rPr>
          <w:rFonts w:ascii="仿宋" w:hAnsi="仿宋" w:eastAsia="仿宋"/>
          <w:color w:val="000000"/>
          <w:sz w:val="32"/>
          <w:szCs w:val="32"/>
        </w:rPr>
        <w:t>%</w:t>
      </w:r>
      <w:r>
        <w:rPr>
          <w:rFonts w:hint="eastAsia" w:ascii="仿宋" w:hAnsi="仿宋" w:eastAsia="仿宋"/>
          <w:color w:val="000000"/>
          <w:sz w:val="32"/>
          <w:szCs w:val="32"/>
        </w:rPr>
        <w:t>；项目支出152.74万元，占20.97</w:t>
      </w:r>
      <w:r>
        <w:rPr>
          <w:rFonts w:ascii="仿宋" w:hAnsi="仿宋" w:eastAsia="仿宋"/>
          <w:color w:val="000000"/>
          <w:sz w:val="32"/>
          <w:szCs w:val="32"/>
        </w:rPr>
        <w:t>%</w:t>
      </w:r>
      <w:r>
        <w:rPr>
          <w:rFonts w:hint="eastAsia" w:ascii="仿宋" w:hAnsi="仿宋" w:eastAsia="仿宋"/>
          <w:color w:val="000000"/>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widowControl/>
        <w:shd w:val="clear" w:color="auto" w:fill="FFFFFF"/>
        <w:spacing w:line="560" w:lineRule="exact"/>
        <w:ind w:firstLine="720"/>
        <w:jc w:val="left"/>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rPr>
        <w:t>（1）预算编制。按照县财政局2018年部门预算编制通知要求，按时完成部门年初预算编制工作。在编制过程中，认真核实单位实际财政供养人数和单位实有编制情况，正确编制人员经费和公用经费等，做到尽量细化项目资金支出预算范围和科目，及时上报相关股室进行审核，对所编制的预算予以调整通过。</w:t>
      </w:r>
    </w:p>
    <w:p>
      <w:pPr>
        <w:widowControl/>
        <w:shd w:val="clear" w:color="auto" w:fill="FFFFFF"/>
        <w:spacing w:line="560" w:lineRule="exact"/>
        <w:ind w:firstLine="720"/>
        <w:jc w:val="left"/>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rPr>
        <w:t>（2）认真编制部门年度决算报表。为真实、准确反应单位年度财务收、支情况，根据县财政的要求，认真开展部门年度决算报表编制工作。按照政府收支分类科目和财务报表支出情况编制部门决算，决算收入、支出口径与财政局国库股、预算股和行政政法股以及财政大平台核对无误，报表编制无差错。</w:t>
      </w:r>
    </w:p>
    <w:p>
      <w:pPr>
        <w:widowControl/>
        <w:shd w:val="clear" w:color="auto" w:fill="FFFFFF"/>
        <w:spacing w:line="560" w:lineRule="exact"/>
        <w:ind w:firstLine="720"/>
        <w:jc w:val="left"/>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rPr>
        <w:t>（二）执行管理情况。按《预算法》和财政有关规定，职工工资等人员经费按月发放，公务费按月申报，项目支出按项目实施情况经我单位和县财政审核无误后按项目进度拨付。在支付方式上，工资实行财政直接支付；公用经费申请授权支付并尽量采取公务卡支付，或转账支付，尽量减少现金支出（零星支出）。</w:t>
      </w:r>
    </w:p>
    <w:p>
      <w:pPr>
        <w:widowControl/>
        <w:shd w:val="clear" w:color="auto" w:fill="FFFFFF"/>
        <w:spacing w:line="560" w:lineRule="exact"/>
        <w:ind w:firstLine="720"/>
        <w:jc w:val="left"/>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争胜镇在执行各项资金预算中，严格按照中央、省、市、县各级财务规定，管好、用好每笔资金。在专项项目资金使用过程中，严格按照项目资金管理办法的规定做好项目实施和监管，切实做到专款专用，从而发挥好项目资金对项目实施的促进作用；对涉及专项资金支出额度较大时，都专题研究决定，杜绝违规违法事件的发生，“三公”支出逐年递减。</w:t>
      </w:r>
    </w:p>
    <w:p>
      <w:pPr>
        <w:widowControl/>
        <w:shd w:val="clear" w:color="auto" w:fill="FFFFFF"/>
        <w:spacing w:line="560" w:lineRule="exact"/>
        <w:ind w:firstLine="720"/>
        <w:jc w:val="left"/>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（三）支出绩效情况</w:t>
      </w:r>
    </w:p>
    <w:p>
      <w:pPr>
        <w:widowControl/>
        <w:shd w:val="clear" w:color="auto" w:fill="FFFFFF"/>
        <w:spacing w:line="560" w:lineRule="exact"/>
        <w:ind w:firstLine="720"/>
        <w:jc w:val="left"/>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1、部门支出绩效</w:t>
      </w:r>
    </w:p>
    <w:p>
      <w:pPr>
        <w:widowControl/>
        <w:shd w:val="clear" w:color="auto" w:fill="FFFFFF"/>
        <w:spacing w:line="560" w:lineRule="exact"/>
        <w:ind w:firstLine="720"/>
        <w:jc w:val="left"/>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rPr>
        <w:t>（1）行政运转保障在保障了机关正常运转的同时，认真履行好部门职能职责。</w:t>
      </w:r>
    </w:p>
    <w:p>
      <w:pPr>
        <w:widowControl/>
        <w:shd w:val="clear" w:color="auto" w:fill="FFFFFF"/>
        <w:spacing w:line="560" w:lineRule="exact"/>
        <w:ind w:firstLine="720"/>
        <w:jc w:val="left"/>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2）机关厉行节约严格执行中央八项规定、省、市十项规定，着力控制“三公”经费预算支出。全年无因公出国（境）费用；精减会议活动，减少会议费支出；严格执行党政机关厉行节约反对浪费条例，加强内部财务管理。</w:t>
      </w:r>
    </w:p>
    <w:p>
      <w:pPr>
        <w:widowControl/>
        <w:shd w:val="clear" w:color="auto" w:fill="FFFFFF"/>
        <w:spacing w:line="560" w:lineRule="exact"/>
        <w:ind w:firstLine="720"/>
        <w:jc w:val="left"/>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rPr>
        <w:t>（3）机关节能降耗认真开展厉行节约反对浪费规定学习的同时，倡导全体机关工作人员弘扬艰苦奋斗、勤俭节约的优良作风，进一步推进建设节约型机关。</w:t>
      </w:r>
      <w:r>
        <w:rPr>
          <w:rFonts w:hint="eastAsia" w:ascii="仿宋" w:hAnsi="仿宋" w:eastAsia="仿宋" w:cs="仿宋"/>
          <w:color w:val="333333"/>
          <w:kern w:val="0"/>
          <w:sz w:val="32"/>
          <w:szCs w:val="32"/>
          <w:shd w:val="clear" w:color="auto" w:fill="FFFFFF"/>
        </w:rPr>
        <w:t>加强办公用品的使用管理，规范办公用品的采购，积极推行网络办公，尽量在电子媒介上撰写、修改文稿，加快推进无纸化办公。</w:t>
      </w:r>
    </w:p>
    <w:p>
      <w:pPr>
        <w:widowControl/>
        <w:shd w:val="clear" w:color="auto" w:fill="FFFFFF"/>
        <w:spacing w:line="560" w:lineRule="exact"/>
        <w:ind w:firstLine="720"/>
        <w:jc w:val="left"/>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rPr>
        <w:t>2、专项预算项目支出绩效</w:t>
      </w:r>
    </w:p>
    <w:p>
      <w:pPr>
        <w:widowControl/>
        <w:shd w:val="clear" w:color="auto" w:fill="FFFFFF"/>
        <w:spacing w:line="560" w:lineRule="exact"/>
        <w:ind w:firstLine="720"/>
        <w:jc w:val="left"/>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rPr>
        <w:t>（1）项目资金管理情况</w:t>
      </w:r>
    </w:p>
    <w:p>
      <w:pPr>
        <w:widowControl/>
        <w:shd w:val="clear" w:color="auto" w:fill="FFFFFF"/>
        <w:spacing w:line="560" w:lineRule="exact"/>
        <w:ind w:firstLine="720"/>
        <w:jc w:val="left"/>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rPr>
        <w:t>争胜镇人民政府严格执行财务管理制度，强化项目资金管理和使用。以《三台县财政资金支付管理暂行办法》为准绳，同时结合部门实际制定了《机关财务管理制度》，加强项目资金的管理和监督，杜绝违规违法事件的发生。</w:t>
      </w:r>
    </w:p>
    <w:p>
      <w:pPr>
        <w:widowControl/>
        <w:shd w:val="clear" w:color="auto" w:fill="FFFFFF"/>
        <w:spacing w:line="560" w:lineRule="exact"/>
        <w:ind w:firstLine="720"/>
        <w:jc w:val="left"/>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rPr>
        <w:t>（2）绩效目标完成情况</w:t>
      </w:r>
    </w:p>
    <w:p>
      <w:pPr>
        <w:widowControl/>
        <w:shd w:val="clear" w:color="auto" w:fill="FFFFFF"/>
        <w:spacing w:line="560" w:lineRule="exact"/>
        <w:ind w:firstLine="720"/>
        <w:jc w:val="left"/>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rPr>
        <w:t>争胜镇人民政府2018年财政部门预算，全面保障了机关日常正常运转，认真履行好部门职能职责，圆满完成了县委、县政府下达的各项业务目标任务。</w:t>
      </w:r>
    </w:p>
    <w:p>
      <w:pPr>
        <w:widowControl/>
        <w:shd w:val="clear" w:color="auto" w:fill="FFFFFF"/>
        <w:spacing w:line="560" w:lineRule="exact"/>
        <w:ind w:firstLine="720"/>
        <w:jc w:val="left"/>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rPr>
        <w:t>（四）财务管理情况</w:t>
      </w:r>
    </w:p>
    <w:p>
      <w:pPr>
        <w:widowControl/>
        <w:shd w:val="clear" w:color="auto" w:fill="FFFFFF"/>
        <w:spacing w:line="560" w:lineRule="exact"/>
        <w:ind w:firstLine="720"/>
        <w:jc w:val="left"/>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rPr>
        <w:t>严格执行国家有关财务法律法规，建立健全内部财务管理制度，制定了《廉政建设制度》，要求全体干部职工都要廉洁奉公、忠于职守，禁止利用职权和职务上的便利谋取不正当的利益。制定了《机关财务管理制度》，严格遵守国家、省、市财务管理法律法规，本着勤俭节约原则，管理好用好每笔资金。财务活动接受审计、财政、纪检监察等部门的监督检查。</w:t>
      </w:r>
    </w:p>
    <w:p>
      <w:pPr>
        <w:widowControl/>
        <w:shd w:val="clear" w:color="auto" w:fill="FFFFFF"/>
        <w:spacing w:line="560" w:lineRule="exact"/>
        <w:ind w:firstLine="720"/>
        <w:jc w:val="left"/>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rPr>
        <w:t>部门账务实行专人管理，专户储存，专款专用，专项核算。全体职工工资等人员经费按月发放，公务费按月申报，项目支出按项目开展情况经与县财政审核无误后按项目进度拨付。在支付方式上，工资实行财政直接支付；公用经费申请授权支付并尽量采取公务卡支付，或转账支付，严格执行政府采购制度，因工作需要购置办公室设备时，按照采购程序，编制采购计划，报经县政府采购中心批准后进行采购办公室设备。</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pStyle w:val="20"/>
        <w:numPr>
          <w:ilvl w:val="0"/>
          <w:numId w:val="10"/>
        </w:numPr>
        <w:shd w:val="clear" w:color="auto" w:fill="FFFFFF"/>
        <w:spacing w:before="0" w:beforeAutospacing="0" w:after="0" w:afterAutospacing="0" w:line="560" w:lineRule="atLeast"/>
        <w:ind w:left="640"/>
        <w:rPr>
          <w:rFonts w:ascii="仿宋" w:hAnsi="仿宋" w:eastAsia="仿宋" w:cs="仿宋"/>
          <w:color w:val="000000"/>
          <w:sz w:val="32"/>
          <w:szCs w:val="32"/>
          <w:shd w:val="clear" w:color="auto" w:fill="FFFFFF"/>
        </w:rPr>
      </w:pPr>
      <w:r>
        <w:rPr>
          <w:rFonts w:ascii="仿宋" w:hAnsi="仿宋" w:eastAsia="仿宋" w:cs="仿宋_GB2312"/>
          <w:sz w:val="32"/>
          <w:szCs w:val="32"/>
        </w:rPr>
        <w:t>评价结论。</w:t>
      </w:r>
      <w:r>
        <w:rPr>
          <w:rFonts w:hint="eastAsia" w:ascii="仿宋" w:hAnsi="仿宋" w:eastAsia="仿宋" w:cs="仿宋"/>
          <w:color w:val="000000"/>
          <w:sz w:val="32"/>
          <w:szCs w:val="32"/>
          <w:shd w:val="clear" w:color="auto" w:fill="FFFFFF"/>
        </w:rPr>
        <w:t>争胜镇人民政府部门财政预算支出，保障了机关日常正常运转，认真履行好部门职能职责，圆满完成了县委、县政府下达的各项目标任务。</w:t>
      </w:r>
    </w:p>
    <w:p>
      <w:pPr>
        <w:spacing w:line="580" w:lineRule="exact"/>
        <w:ind w:firstLine="640" w:firstLineChars="200"/>
        <w:rPr>
          <w:rFonts w:ascii="仿宋" w:hAnsi="仿宋" w:eastAsia="仿宋" w:cs="仿宋"/>
          <w:color w:val="000000"/>
          <w:kern w:val="0"/>
          <w:sz w:val="32"/>
          <w:szCs w:val="32"/>
          <w:shd w:val="clear" w:color="auto" w:fill="FFFFFF"/>
        </w:rPr>
      </w:pPr>
      <w:r>
        <w:rPr>
          <w:rFonts w:ascii="仿宋" w:hAnsi="仿宋" w:eastAsia="仿宋" w:cs="仿宋_GB2312"/>
          <w:sz w:val="32"/>
          <w:szCs w:val="32"/>
        </w:rPr>
        <w:t>（二）存在问题。</w:t>
      </w:r>
      <w:r>
        <w:rPr>
          <w:rFonts w:hint="eastAsia" w:ascii="仿宋" w:hAnsi="仿宋" w:eastAsia="仿宋" w:cs="仿宋"/>
          <w:color w:val="000000"/>
          <w:kern w:val="0"/>
          <w:sz w:val="32"/>
          <w:szCs w:val="32"/>
          <w:shd w:val="clear" w:color="auto" w:fill="FFFFFF"/>
        </w:rPr>
        <w:t>主要存在问题一是使用公务卡方面需要进一步加强。二是对个别项目资金使用方面预算不够细致。</w:t>
      </w:r>
    </w:p>
    <w:p>
      <w:pPr>
        <w:spacing w:line="560" w:lineRule="exact"/>
        <w:ind w:firstLine="640" w:firstLineChars="200"/>
        <w:rPr>
          <w:rFonts w:ascii="仿宋" w:hAnsi="仿宋" w:eastAsia="仿宋" w:cs="仿宋"/>
          <w:color w:val="000000"/>
          <w:sz w:val="32"/>
          <w:szCs w:val="32"/>
          <w:shd w:val="clear" w:color="auto" w:fill="FFFFFF"/>
        </w:rPr>
      </w:pPr>
      <w:r>
        <w:rPr>
          <w:rFonts w:ascii="仿宋" w:hAnsi="仿宋" w:eastAsia="仿宋" w:cs="仿宋_GB2312"/>
          <w:sz w:val="32"/>
          <w:szCs w:val="32"/>
        </w:rPr>
        <w:t>（三）改进建议。</w:t>
      </w:r>
      <w:r>
        <w:rPr>
          <w:rFonts w:hint="eastAsia" w:ascii="仿宋" w:hAnsi="仿宋" w:eastAsia="仿宋" w:cs="仿宋"/>
          <w:color w:val="000000"/>
          <w:sz w:val="32"/>
          <w:szCs w:val="32"/>
          <w:shd w:val="clear" w:color="auto" w:fill="FFFFFF"/>
        </w:rPr>
        <w:t>一是加大对公务卡的使用力度。二是细化各项目资金的预算编制工作，进一步加强内设机构的预算管理意识，严格按照预算编制的相关制度和要求进行预算编制，即要确保各项工作顺利的开展，又要做好厉行节约，力争把成本降低</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00" w:lineRule="exact"/>
        <w:jc w:val="center"/>
        <w:outlineLvl w:val="0"/>
        <w:rPr>
          <w:rStyle w:val="27"/>
          <w:rFonts w:ascii="黑体" w:hAnsi="黑体" w:eastAsia="黑体"/>
          <w:b w:val="0"/>
        </w:rPr>
      </w:pPr>
      <w:bookmarkStart w:id="61" w:name="_Toc15396618"/>
      <w:r>
        <w:rPr>
          <w:rFonts w:hint="eastAsia" w:ascii="黑体" w:hAnsi="黑体" w:eastAsia="黑体"/>
          <w:color w:val="000000"/>
          <w:sz w:val="44"/>
          <w:szCs w:val="44"/>
        </w:rPr>
        <w:t>第</w:t>
      </w:r>
      <w:r>
        <w:rPr>
          <w:rStyle w:val="27"/>
          <w:rFonts w:hint="eastAsia" w:ascii="黑体" w:hAnsi="黑体" w:eastAsia="黑体"/>
          <w:b w:val="0"/>
        </w:rPr>
        <w:t>五部分 附表</w:t>
      </w:r>
      <w:bookmarkEnd w:id="57"/>
      <w:bookmarkEnd w:id="61"/>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2" w:name="_Toc15396619"/>
      <w:r>
        <w:rPr>
          <w:rFonts w:hint="eastAsia" w:ascii="仿宋" w:hAnsi="仿宋" w:eastAsia="仿宋"/>
          <w:b w:val="0"/>
          <w:color w:val="000000"/>
        </w:rPr>
        <w:t>一、收</w:t>
      </w:r>
      <w:r>
        <w:rPr>
          <w:rStyle w:val="28"/>
          <w:rFonts w:hint="eastAsia" w:ascii="仿宋" w:hAnsi="仿宋" w:eastAsia="仿宋"/>
          <w:b w:val="0"/>
          <w:bCs w:val="0"/>
        </w:rPr>
        <w:t>入支出决算总表</w:t>
      </w:r>
      <w:bookmarkEnd w:id="62"/>
    </w:p>
    <w:p>
      <w:pPr>
        <w:pStyle w:val="3"/>
        <w:rPr>
          <w:rFonts w:ascii="仿宋" w:hAnsi="仿宋" w:eastAsia="仿宋"/>
          <w:color w:val="000000"/>
        </w:rPr>
      </w:pPr>
      <w:bookmarkStart w:id="63" w:name="_Toc15396620"/>
      <w:r>
        <w:rPr>
          <w:rFonts w:hint="eastAsia" w:ascii="仿宋" w:hAnsi="仿宋" w:eastAsia="仿宋"/>
          <w:b w:val="0"/>
          <w:color w:val="000000"/>
        </w:rPr>
        <w:t>二、收</w:t>
      </w:r>
      <w:r>
        <w:rPr>
          <w:rStyle w:val="28"/>
          <w:rFonts w:hint="eastAsia" w:ascii="仿宋" w:hAnsi="仿宋" w:eastAsia="仿宋"/>
          <w:b w:val="0"/>
          <w:bCs w:val="0"/>
        </w:rPr>
        <w:t>入总表</w:t>
      </w:r>
      <w:bookmarkEnd w:id="63"/>
    </w:p>
    <w:p>
      <w:pPr>
        <w:pStyle w:val="3"/>
        <w:rPr>
          <w:rFonts w:ascii="仿宋" w:hAnsi="仿宋" w:eastAsia="仿宋"/>
          <w:color w:val="000000"/>
        </w:rPr>
      </w:pPr>
      <w:bookmarkStart w:id="64" w:name="_Toc15396621"/>
      <w:r>
        <w:rPr>
          <w:rStyle w:val="28"/>
          <w:rFonts w:hint="eastAsia" w:ascii="仿宋" w:hAnsi="仿宋" w:eastAsia="仿宋"/>
          <w:b w:val="0"/>
          <w:bCs w:val="0"/>
        </w:rPr>
        <w:t>三、</w:t>
      </w:r>
      <w:r>
        <w:rPr>
          <w:rFonts w:hint="eastAsia" w:ascii="仿宋" w:hAnsi="仿宋" w:eastAsia="仿宋"/>
          <w:b w:val="0"/>
          <w:color w:val="000000"/>
        </w:rPr>
        <w:t>支</w:t>
      </w:r>
      <w:r>
        <w:rPr>
          <w:rStyle w:val="28"/>
          <w:rFonts w:hint="eastAsia" w:ascii="仿宋" w:hAnsi="仿宋" w:eastAsia="仿宋"/>
          <w:b w:val="0"/>
          <w:bCs w:val="0"/>
        </w:rPr>
        <w:t>出总表</w:t>
      </w:r>
      <w:bookmarkEnd w:id="64"/>
    </w:p>
    <w:p>
      <w:pPr>
        <w:pStyle w:val="3"/>
        <w:rPr>
          <w:rFonts w:ascii="仿宋" w:hAnsi="仿宋" w:eastAsia="仿宋"/>
          <w:b w:val="0"/>
          <w:color w:val="000000"/>
        </w:rPr>
      </w:pPr>
      <w:bookmarkStart w:id="65" w:name="_Toc15396622"/>
      <w:r>
        <w:rPr>
          <w:rStyle w:val="28"/>
          <w:rFonts w:hint="eastAsia" w:ascii="仿宋" w:hAnsi="仿宋" w:eastAsia="仿宋"/>
          <w:b w:val="0"/>
          <w:bCs w:val="0"/>
        </w:rPr>
        <w:t>四、</w:t>
      </w:r>
      <w:r>
        <w:rPr>
          <w:rFonts w:hint="eastAsia" w:ascii="仿宋" w:hAnsi="仿宋" w:eastAsia="仿宋"/>
          <w:b w:val="0"/>
          <w:color w:val="000000"/>
        </w:rPr>
        <w:t>财</w:t>
      </w:r>
      <w:r>
        <w:rPr>
          <w:rStyle w:val="28"/>
          <w:rFonts w:hint="eastAsia" w:ascii="仿宋" w:hAnsi="仿宋" w:eastAsia="仿宋"/>
          <w:b w:val="0"/>
          <w:bCs w:val="0"/>
        </w:rPr>
        <w:t>政拨款收入支出决算总表</w:t>
      </w:r>
      <w:bookmarkEnd w:id="65"/>
    </w:p>
    <w:p>
      <w:pPr>
        <w:pStyle w:val="3"/>
        <w:rPr>
          <w:rFonts w:ascii="仿宋" w:hAnsi="仿宋" w:eastAsia="仿宋"/>
          <w:color w:val="000000"/>
        </w:rPr>
      </w:pPr>
      <w:bookmarkStart w:id="66" w:name="_Toc15396623"/>
      <w:r>
        <w:rPr>
          <w:rStyle w:val="28"/>
          <w:rFonts w:hint="eastAsia" w:ascii="仿宋" w:hAnsi="仿宋" w:eastAsia="仿宋"/>
          <w:b w:val="0"/>
          <w:bCs w:val="0"/>
        </w:rPr>
        <w:t>五、</w:t>
      </w:r>
      <w:r>
        <w:rPr>
          <w:rFonts w:hint="eastAsia" w:ascii="仿宋" w:hAnsi="仿宋" w:eastAsia="仿宋"/>
          <w:b w:val="0"/>
          <w:color w:val="000000"/>
        </w:rPr>
        <w:t>财</w:t>
      </w:r>
      <w:r>
        <w:rPr>
          <w:rStyle w:val="28"/>
          <w:rFonts w:hint="eastAsia" w:ascii="仿宋" w:hAnsi="仿宋" w:eastAsia="仿宋"/>
          <w:b w:val="0"/>
          <w:bCs w:val="0"/>
        </w:rPr>
        <w:t>政拨款支出决算明细表（政府经济分类科目）</w:t>
      </w:r>
      <w:bookmarkEnd w:id="66"/>
    </w:p>
    <w:p>
      <w:pPr>
        <w:pStyle w:val="3"/>
        <w:rPr>
          <w:rFonts w:ascii="仿宋" w:hAnsi="仿宋" w:eastAsia="仿宋"/>
          <w:color w:val="000000"/>
        </w:rPr>
      </w:pPr>
      <w:bookmarkStart w:id="67" w:name="_Toc15396624"/>
      <w:r>
        <w:rPr>
          <w:rStyle w:val="28"/>
          <w:rFonts w:hint="eastAsia" w:ascii="仿宋" w:hAnsi="仿宋" w:eastAsia="仿宋"/>
          <w:b w:val="0"/>
          <w:bCs w:val="0"/>
        </w:rPr>
        <w:t>六、</w:t>
      </w:r>
      <w:r>
        <w:rPr>
          <w:rFonts w:hint="eastAsia" w:ascii="仿宋" w:hAnsi="仿宋" w:eastAsia="仿宋"/>
          <w:b w:val="0"/>
          <w:color w:val="000000"/>
        </w:rPr>
        <w:t>一</w:t>
      </w:r>
      <w:r>
        <w:rPr>
          <w:rStyle w:val="28"/>
          <w:rFonts w:hint="eastAsia" w:ascii="仿宋" w:hAnsi="仿宋" w:eastAsia="仿宋"/>
          <w:b w:val="0"/>
          <w:bCs w:val="0"/>
        </w:rPr>
        <w:t>般公共预算财政拨款支出决算表</w:t>
      </w:r>
      <w:bookmarkEnd w:id="67"/>
    </w:p>
    <w:p>
      <w:pPr>
        <w:pStyle w:val="3"/>
        <w:rPr>
          <w:rFonts w:ascii="仿宋" w:hAnsi="仿宋" w:eastAsia="仿宋"/>
          <w:color w:val="000000"/>
        </w:rPr>
      </w:pPr>
      <w:bookmarkStart w:id="68" w:name="_Toc15396625"/>
      <w:r>
        <w:rPr>
          <w:rStyle w:val="28"/>
          <w:rFonts w:hint="eastAsia" w:ascii="仿宋" w:hAnsi="仿宋" w:eastAsia="仿宋"/>
          <w:b w:val="0"/>
          <w:bCs w:val="0"/>
        </w:rPr>
        <w:t>七、</w:t>
      </w:r>
      <w:r>
        <w:rPr>
          <w:rFonts w:hint="eastAsia" w:ascii="仿宋" w:hAnsi="仿宋" w:eastAsia="仿宋"/>
          <w:b w:val="0"/>
          <w:color w:val="000000"/>
        </w:rPr>
        <w:t>一</w:t>
      </w:r>
      <w:r>
        <w:rPr>
          <w:rStyle w:val="28"/>
          <w:rFonts w:hint="eastAsia" w:ascii="仿宋" w:hAnsi="仿宋" w:eastAsia="仿宋"/>
          <w:b w:val="0"/>
          <w:bCs w:val="0"/>
        </w:rPr>
        <w:t>般公共预算财政拨款支出决算明细表</w:t>
      </w:r>
      <w:bookmarkEnd w:id="68"/>
    </w:p>
    <w:p>
      <w:pPr>
        <w:pStyle w:val="3"/>
        <w:rPr>
          <w:rFonts w:ascii="仿宋" w:hAnsi="仿宋" w:eastAsia="仿宋"/>
          <w:color w:val="000000"/>
        </w:rPr>
      </w:pPr>
      <w:bookmarkStart w:id="69" w:name="_Toc15396626"/>
      <w:r>
        <w:rPr>
          <w:rStyle w:val="28"/>
          <w:rFonts w:hint="eastAsia" w:ascii="仿宋" w:hAnsi="仿宋" w:eastAsia="仿宋"/>
          <w:b w:val="0"/>
          <w:bCs w:val="0"/>
        </w:rPr>
        <w:t>八、</w:t>
      </w:r>
      <w:r>
        <w:rPr>
          <w:rFonts w:hint="eastAsia" w:ascii="仿宋" w:hAnsi="仿宋" w:eastAsia="仿宋"/>
          <w:b w:val="0"/>
          <w:color w:val="000000"/>
        </w:rPr>
        <w:t>一</w:t>
      </w:r>
      <w:r>
        <w:rPr>
          <w:rStyle w:val="28"/>
          <w:rFonts w:hint="eastAsia" w:ascii="仿宋" w:hAnsi="仿宋" w:eastAsia="仿宋"/>
          <w:b w:val="0"/>
          <w:bCs w:val="0"/>
        </w:rPr>
        <w:t>般公共预算财政拨款基本支出决算表</w:t>
      </w:r>
      <w:bookmarkEnd w:id="69"/>
    </w:p>
    <w:p>
      <w:pPr>
        <w:pStyle w:val="3"/>
        <w:rPr>
          <w:rFonts w:ascii="仿宋" w:hAnsi="仿宋" w:eastAsia="仿宋"/>
          <w:color w:val="000000"/>
        </w:rPr>
      </w:pPr>
      <w:bookmarkStart w:id="70" w:name="_Toc15396627"/>
      <w:r>
        <w:rPr>
          <w:rStyle w:val="28"/>
          <w:rFonts w:hint="eastAsia" w:ascii="仿宋" w:hAnsi="仿宋" w:eastAsia="仿宋"/>
          <w:b w:val="0"/>
          <w:bCs w:val="0"/>
        </w:rPr>
        <w:t>九、</w:t>
      </w:r>
      <w:r>
        <w:rPr>
          <w:rFonts w:hint="eastAsia" w:ascii="仿宋" w:hAnsi="仿宋" w:eastAsia="仿宋"/>
          <w:b w:val="0"/>
          <w:color w:val="000000"/>
        </w:rPr>
        <w:t>一</w:t>
      </w:r>
      <w:r>
        <w:rPr>
          <w:rStyle w:val="28"/>
          <w:rFonts w:hint="eastAsia" w:ascii="仿宋" w:hAnsi="仿宋" w:eastAsia="仿宋"/>
          <w:b w:val="0"/>
          <w:bCs w:val="0"/>
        </w:rPr>
        <w:t>般公共预算财政拨款项目支出决算表</w:t>
      </w:r>
      <w:bookmarkEnd w:id="70"/>
    </w:p>
    <w:p>
      <w:pPr>
        <w:pStyle w:val="3"/>
        <w:rPr>
          <w:rFonts w:ascii="仿宋" w:hAnsi="仿宋" w:eastAsia="仿宋"/>
          <w:color w:val="000000"/>
        </w:rPr>
      </w:pPr>
      <w:bookmarkStart w:id="71" w:name="_Toc15396628"/>
      <w:r>
        <w:rPr>
          <w:rStyle w:val="28"/>
          <w:rFonts w:hint="eastAsia" w:ascii="仿宋" w:hAnsi="仿宋" w:eastAsia="仿宋"/>
          <w:b w:val="0"/>
          <w:bCs w:val="0"/>
        </w:rPr>
        <w:t>十、</w:t>
      </w:r>
      <w:r>
        <w:rPr>
          <w:rFonts w:hint="eastAsia" w:ascii="仿宋" w:hAnsi="仿宋" w:eastAsia="仿宋"/>
          <w:b w:val="0"/>
          <w:color w:val="000000"/>
        </w:rPr>
        <w:t>一</w:t>
      </w:r>
      <w:r>
        <w:rPr>
          <w:rStyle w:val="28"/>
          <w:rFonts w:hint="eastAsia" w:ascii="仿宋" w:hAnsi="仿宋" w:eastAsia="仿宋"/>
          <w:b w:val="0"/>
          <w:bCs w:val="0"/>
        </w:rPr>
        <w:t>般公共预算财政拨款“三公”经费支出决算表</w:t>
      </w:r>
      <w:bookmarkEnd w:id="71"/>
    </w:p>
    <w:p>
      <w:pPr>
        <w:pStyle w:val="3"/>
        <w:rPr>
          <w:rFonts w:ascii="仿宋" w:hAnsi="仿宋" w:eastAsia="仿宋"/>
          <w:color w:val="000000"/>
        </w:rPr>
      </w:pPr>
      <w:bookmarkStart w:id="72" w:name="_Toc15396629"/>
      <w:r>
        <w:rPr>
          <w:rStyle w:val="28"/>
          <w:rFonts w:hint="eastAsia" w:ascii="仿宋" w:hAnsi="仿宋" w:eastAsia="仿宋"/>
          <w:b w:val="0"/>
          <w:bCs w:val="0"/>
        </w:rPr>
        <w:t>十一、</w:t>
      </w:r>
      <w:r>
        <w:rPr>
          <w:rFonts w:hint="eastAsia" w:ascii="仿宋" w:hAnsi="仿宋" w:eastAsia="仿宋"/>
          <w:b w:val="0"/>
          <w:color w:val="000000"/>
        </w:rPr>
        <w:t>政</w:t>
      </w:r>
      <w:r>
        <w:rPr>
          <w:rStyle w:val="28"/>
          <w:rFonts w:hint="eastAsia" w:ascii="仿宋" w:hAnsi="仿宋" w:eastAsia="仿宋"/>
          <w:b w:val="0"/>
          <w:bCs w:val="0"/>
        </w:rPr>
        <w:t>府性基金预算财政拨款收入支出决算表</w:t>
      </w:r>
      <w:bookmarkEnd w:id="72"/>
    </w:p>
    <w:p>
      <w:pPr>
        <w:pStyle w:val="3"/>
        <w:rPr>
          <w:rFonts w:ascii="仿宋" w:hAnsi="仿宋" w:eastAsia="仿宋"/>
          <w:color w:val="000000"/>
        </w:rPr>
      </w:pPr>
      <w:bookmarkStart w:id="73" w:name="_Toc15396630"/>
      <w:r>
        <w:rPr>
          <w:rStyle w:val="28"/>
          <w:rFonts w:hint="eastAsia" w:ascii="仿宋" w:hAnsi="仿宋" w:eastAsia="仿宋"/>
          <w:b w:val="0"/>
          <w:bCs w:val="0"/>
        </w:rPr>
        <w:t>十二、</w:t>
      </w:r>
      <w:r>
        <w:rPr>
          <w:rFonts w:hint="eastAsia" w:ascii="仿宋" w:hAnsi="仿宋" w:eastAsia="仿宋"/>
          <w:b w:val="0"/>
          <w:color w:val="000000"/>
        </w:rPr>
        <w:t>政</w:t>
      </w:r>
      <w:r>
        <w:rPr>
          <w:rStyle w:val="28"/>
          <w:rFonts w:hint="eastAsia" w:ascii="仿宋" w:hAnsi="仿宋" w:eastAsia="仿宋"/>
          <w:b w:val="0"/>
          <w:bCs w:val="0"/>
        </w:rPr>
        <w:t>府性基金预算财政拨款“三公”经费支出决算表</w:t>
      </w:r>
      <w:bookmarkEnd w:id="73"/>
    </w:p>
    <w:p>
      <w:pPr>
        <w:pStyle w:val="3"/>
        <w:rPr>
          <w:rFonts w:ascii="仿宋" w:hAnsi="仿宋" w:eastAsia="仿宋"/>
          <w:color w:val="000000"/>
        </w:rPr>
      </w:pPr>
      <w:bookmarkStart w:id="74" w:name="_Toc15396631"/>
      <w:r>
        <w:rPr>
          <w:rStyle w:val="28"/>
          <w:rFonts w:hint="eastAsia" w:ascii="仿宋" w:hAnsi="仿宋" w:eastAsia="仿宋"/>
          <w:b w:val="0"/>
          <w:bCs w:val="0"/>
        </w:rPr>
        <w:t>十三、</w:t>
      </w:r>
      <w:r>
        <w:rPr>
          <w:rFonts w:hint="eastAsia" w:ascii="仿宋" w:hAnsi="仿宋" w:eastAsia="仿宋"/>
          <w:b w:val="0"/>
          <w:color w:val="000000"/>
        </w:rPr>
        <w:t>国</w:t>
      </w:r>
      <w:r>
        <w:rPr>
          <w:rStyle w:val="28"/>
          <w:rFonts w:hint="eastAsia" w:ascii="仿宋" w:hAnsi="仿宋" w:eastAsia="仿宋"/>
          <w:b w:val="0"/>
          <w:bCs w:val="0"/>
        </w:rPr>
        <w:t>有资本经营预算支出决算表</w:t>
      </w:r>
      <w:bookmarkEnd w:id="74"/>
    </w:p>
    <w:sectPr>
      <w:headerReference r:id="rId4" w:type="default"/>
      <w:footerReference r:id="rId5"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PAGE   \* MERGEFORMAT</w:instrText>
    </w:r>
    <w:r>
      <w:fldChar w:fldCharType="separate"/>
    </w:r>
    <w:r>
      <w:rPr>
        <w:lang w:val="zh-CN"/>
      </w:rPr>
      <w:t>21</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329248398">
    <w:nsid w:val="C6704C8E"/>
    <w:multiLevelType w:val="singleLevel"/>
    <w:tmpl w:val="C6704C8E"/>
    <w:lvl w:ilvl="0" w:tentative="1">
      <w:start w:val="2"/>
      <w:numFmt w:val="decimal"/>
      <w:lvlText w:val="%1."/>
      <w:lvlJc w:val="left"/>
      <w:pPr>
        <w:tabs>
          <w:tab w:val="left" w:pos="312"/>
        </w:tabs>
      </w:pPr>
    </w:lvl>
  </w:abstractNum>
  <w:abstractNum w:abstractNumId="3479514348">
    <w:nsid w:val="CF652CEC"/>
    <w:multiLevelType w:val="singleLevel"/>
    <w:tmpl w:val="CF652CEC"/>
    <w:lvl w:ilvl="0" w:tentative="1">
      <w:start w:val="9"/>
      <w:numFmt w:val="chineseCounting"/>
      <w:suff w:val="nothing"/>
      <w:lvlText w:val="%1、"/>
      <w:lvlJc w:val="left"/>
      <w:rPr>
        <w:rFonts w:hint="eastAsia"/>
      </w:rPr>
    </w:lvl>
  </w:abstractNum>
  <w:abstractNum w:abstractNumId="3808035965">
    <w:nsid w:val="E2FA047D"/>
    <w:multiLevelType w:val="singleLevel"/>
    <w:tmpl w:val="E2FA047D"/>
    <w:lvl w:ilvl="0" w:tentative="1">
      <w:start w:val="3"/>
      <w:numFmt w:val="chineseCounting"/>
      <w:suff w:val="space"/>
      <w:lvlText w:val="第%1部分"/>
      <w:lvlJc w:val="left"/>
      <w:rPr>
        <w:rFonts w:hint="eastAsia"/>
      </w:rPr>
    </w:lvl>
  </w:abstractNum>
  <w:abstractNum w:abstractNumId="3960205104">
    <w:nsid w:val="EC0BEF30"/>
    <w:multiLevelType w:val="singleLevel"/>
    <w:tmpl w:val="EC0BEF30"/>
    <w:lvl w:ilvl="0" w:tentative="1">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047487036">
    <w:nsid w:val="F13FC03C"/>
    <w:multiLevelType w:val="singleLevel"/>
    <w:tmpl w:val="F13FC03C"/>
    <w:lvl w:ilvl="0" w:tentative="1">
      <w:start w:val="2"/>
      <w:numFmt w:val="chineseCounting"/>
      <w:suff w:val="nothing"/>
      <w:lvlText w:val="（%1）"/>
      <w:lvlJc w:val="left"/>
      <w:rPr>
        <w:rFonts w:hint="eastAsia"/>
      </w:rPr>
    </w:lvl>
  </w:abstractNum>
  <w:abstractNum w:abstractNumId="12726818">
    <w:nsid w:val="00C23222"/>
    <w:multiLevelType w:val="singleLevel"/>
    <w:tmpl w:val="00C23222"/>
    <w:lvl w:ilvl="0" w:tentative="1">
      <w:start w:val="1"/>
      <w:numFmt w:val="decimal"/>
      <w:suff w:val="nothing"/>
      <w:lvlText w:val="%1、"/>
      <w:lvlJc w:val="left"/>
    </w:lvl>
  </w:abstractNum>
  <w:abstractNum w:abstractNumId="309482763">
    <w:nsid w:val="1272550B"/>
    <w:multiLevelType w:val="multilevel"/>
    <w:tmpl w:val="1272550B"/>
    <w:lvl w:ilvl="0" w:tentative="1">
      <w:start w:val="1"/>
      <w:numFmt w:val="japaneseCounting"/>
      <w:lvlText w:val="%1、"/>
      <w:lvlJc w:val="left"/>
      <w:pPr>
        <w:ind w:left="1360" w:hanging="720"/>
      </w:pPr>
      <w:rPr>
        <w:rFonts w:hint="default"/>
        <w:b w:val="0"/>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401876663">
    <w:nsid w:val="17F426B7"/>
    <w:multiLevelType w:val="multilevel"/>
    <w:tmpl w:val="17F426B7"/>
    <w:lvl w:ilvl="0" w:tentative="1">
      <w:start w:val="10"/>
      <w:numFmt w:val="japaneseCounting"/>
      <w:lvlText w:val="%1、"/>
      <w:lvlJc w:val="left"/>
      <w:pPr>
        <w:ind w:left="1429" w:hanging="720"/>
      </w:pPr>
      <w:rPr>
        <w:rFonts w:hint="default"/>
      </w:rPr>
    </w:lvl>
    <w:lvl w:ilvl="1" w:tentative="1">
      <w:start w:val="1"/>
      <w:numFmt w:val="lowerLetter"/>
      <w:lvlText w:val="%2)"/>
      <w:lvlJc w:val="left"/>
      <w:pPr>
        <w:ind w:left="1549" w:hanging="420"/>
      </w:pPr>
    </w:lvl>
    <w:lvl w:ilvl="2" w:tentative="1">
      <w:start w:val="1"/>
      <w:numFmt w:val="lowerRoman"/>
      <w:lvlText w:val="%3."/>
      <w:lvlJc w:val="right"/>
      <w:pPr>
        <w:ind w:left="1969" w:hanging="420"/>
      </w:pPr>
    </w:lvl>
    <w:lvl w:ilvl="3" w:tentative="1">
      <w:start w:val="1"/>
      <w:numFmt w:val="decimal"/>
      <w:lvlText w:val="%4."/>
      <w:lvlJc w:val="left"/>
      <w:pPr>
        <w:ind w:left="2389" w:hanging="420"/>
      </w:pPr>
    </w:lvl>
    <w:lvl w:ilvl="4" w:tentative="1">
      <w:start w:val="1"/>
      <w:numFmt w:val="lowerLetter"/>
      <w:lvlText w:val="%5)"/>
      <w:lvlJc w:val="left"/>
      <w:pPr>
        <w:ind w:left="2809" w:hanging="420"/>
      </w:pPr>
    </w:lvl>
    <w:lvl w:ilvl="5" w:tentative="1">
      <w:start w:val="1"/>
      <w:numFmt w:val="lowerRoman"/>
      <w:lvlText w:val="%6."/>
      <w:lvlJc w:val="right"/>
      <w:pPr>
        <w:ind w:left="3229" w:hanging="420"/>
      </w:pPr>
    </w:lvl>
    <w:lvl w:ilvl="6" w:tentative="1">
      <w:start w:val="1"/>
      <w:numFmt w:val="decimal"/>
      <w:lvlText w:val="%7."/>
      <w:lvlJc w:val="left"/>
      <w:pPr>
        <w:ind w:left="3649" w:hanging="420"/>
      </w:pPr>
    </w:lvl>
    <w:lvl w:ilvl="7" w:tentative="1">
      <w:start w:val="1"/>
      <w:numFmt w:val="lowerLetter"/>
      <w:lvlText w:val="%8)"/>
      <w:lvlJc w:val="left"/>
      <w:pPr>
        <w:ind w:left="4069" w:hanging="420"/>
      </w:pPr>
    </w:lvl>
    <w:lvl w:ilvl="8" w:tentative="1">
      <w:start w:val="1"/>
      <w:numFmt w:val="lowerRoman"/>
      <w:lvlText w:val="%9."/>
      <w:lvlJc w:val="right"/>
      <w:pPr>
        <w:ind w:left="4489" w:hanging="420"/>
      </w:pPr>
    </w:lvl>
  </w:abstractNum>
  <w:abstractNum w:abstractNumId="764559092">
    <w:nsid w:val="2D923EF4"/>
    <w:multiLevelType w:val="singleLevel"/>
    <w:tmpl w:val="2D923EF4"/>
    <w:lvl w:ilvl="0" w:tentative="1">
      <w:start w:val="1"/>
      <w:numFmt w:val="chineseCounting"/>
      <w:suff w:val="nothing"/>
      <w:lvlText w:val="（%1）"/>
      <w:lvlJc w:val="left"/>
      <w:rPr>
        <w:rFonts w:hint="eastAsia"/>
      </w:rPr>
    </w:lvl>
  </w:abstractNum>
  <w:abstractNum w:abstractNumId="1137918892">
    <w:nsid w:val="43D343AC"/>
    <w:multiLevelType w:val="singleLevel"/>
    <w:tmpl w:val="43D343AC"/>
    <w:lvl w:ilvl="0" w:tentative="1">
      <w:start w:val="2"/>
      <w:numFmt w:val="chineseCounting"/>
      <w:suff w:val="nothing"/>
      <w:lvlText w:val="（%1）"/>
      <w:lvlJc w:val="left"/>
      <w:rPr>
        <w:rFonts w:hint="eastAsia"/>
      </w:rPr>
    </w:lvl>
  </w:abstractNum>
  <w:num w:numId="1">
    <w:abstractNumId w:val="309482763"/>
  </w:num>
  <w:num w:numId="2">
    <w:abstractNumId w:val="3479514348"/>
  </w:num>
  <w:num w:numId="3">
    <w:abstractNumId w:val="401876663"/>
  </w:num>
  <w:num w:numId="4">
    <w:abstractNumId w:val="3960205104"/>
  </w:num>
  <w:num w:numId="5">
    <w:abstractNumId w:val="12726818"/>
  </w:num>
  <w:num w:numId="6">
    <w:abstractNumId w:val="3329248398"/>
  </w:num>
  <w:num w:numId="7">
    <w:abstractNumId w:val="3808035965"/>
  </w:num>
  <w:num w:numId="8">
    <w:abstractNumId w:val="4047487036"/>
  </w:num>
  <w:num w:numId="9">
    <w:abstractNumId w:val="1137918892"/>
  </w:num>
  <w:num w:numId="10">
    <w:abstractNumId w:val="7645590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6141B"/>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D5750"/>
    <w:rsid w:val="00EE2F57"/>
    <w:rsid w:val="00EF4C34"/>
    <w:rsid w:val="00EF77C6"/>
    <w:rsid w:val="00F05438"/>
    <w:rsid w:val="00F1361C"/>
    <w:rsid w:val="00F160C7"/>
    <w:rsid w:val="00F36D8F"/>
    <w:rsid w:val="00F417B1"/>
    <w:rsid w:val="00F602DF"/>
    <w:rsid w:val="00F81FD9"/>
    <w:rsid w:val="00F841AA"/>
    <w:rsid w:val="00F95433"/>
    <w:rsid w:val="00FA23E8"/>
    <w:rsid w:val="00FD3CC1"/>
    <w:rsid w:val="00FF1E02"/>
    <w:rsid w:val="00FF30B4"/>
    <w:rsid w:val="04765AAF"/>
    <w:rsid w:val="049F6584"/>
    <w:rsid w:val="06177AEC"/>
    <w:rsid w:val="067C6F4B"/>
    <w:rsid w:val="0AB301EC"/>
    <w:rsid w:val="0C8B7C21"/>
    <w:rsid w:val="0DD60A0D"/>
    <w:rsid w:val="0E2518D9"/>
    <w:rsid w:val="101B0309"/>
    <w:rsid w:val="10C055FF"/>
    <w:rsid w:val="10EC5464"/>
    <w:rsid w:val="11732428"/>
    <w:rsid w:val="12B15B5A"/>
    <w:rsid w:val="131C7460"/>
    <w:rsid w:val="1436235D"/>
    <w:rsid w:val="16BB723D"/>
    <w:rsid w:val="16D74B07"/>
    <w:rsid w:val="19187CDE"/>
    <w:rsid w:val="1AAB3568"/>
    <w:rsid w:val="1BE428CB"/>
    <w:rsid w:val="1C412B2C"/>
    <w:rsid w:val="1CD27521"/>
    <w:rsid w:val="1E710C6A"/>
    <w:rsid w:val="1F3169E6"/>
    <w:rsid w:val="1F85180A"/>
    <w:rsid w:val="219A1388"/>
    <w:rsid w:val="21A26B3B"/>
    <w:rsid w:val="23B4064B"/>
    <w:rsid w:val="240371BF"/>
    <w:rsid w:val="26E81AF9"/>
    <w:rsid w:val="28B020ED"/>
    <w:rsid w:val="29EE4601"/>
    <w:rsid w:val="29FD04D3"/>
    <w:rsid w:val="2AFC30DD"/>
    <w:rsid w:val="2B744C57"/>
    <w:rsid w:val="2B8C677A"/>
    <w:rsid w:val="2D807581"/>
    <w:rsid w:val="2F4C66CA"/>
    <w:rsid w:val="305C1E74"/>
    <w:rsid w:val="319F7F4E"/>
    <w:rsid w:val="41182B5F"/>
    <w:rsid w:val="45422DEB"/>
    <w:rsid w:val="4742461F"/>
    <w:rsid w:val="487240D3"/>
    <w:rsid w:val="49D53158"/>
    <w:rsid w:val="4B813B43"/>
    <w:rsid w:val="4F1573D1"/>
    <w:rsid w:val="501211AB"/>
    <w:rsid w:val="50501209"/>
    <w:rsid w:val="557343A5"/>
    <w:rsid w:val="584F2ACE"/>
    <w:rsid w:val="5B0054A1"/>
    <w:rsid w:val="5CEC2C3F"/>
    <w:rsid w:val="5E3D6796"/>
    <w:rsid w:val="625D1B2D"/>
    <w:rsid w:val="626A0066"/>
    <w:rsid w:val="688007C8"/>
    <w:rsid w:val="69940745"/>
    <w:rsid w:val="6A473881"/>
    <w:rsid w:val="6F9F7DC6"/>
    <w:rsid w:val="719B3CA2"/>
    <w:rsid w:val="73DE09D1"/>
    <w:rsid w:val="746C60F2"/>
    <w:rsid w:val="7484659A"/>
    <w:rsid w:val="74942F51"/>
    <w:rsid w:val="798B1737"/>
    <w:rsid w:val="7EB82AAC"/>
    <w:rsid w:val="7F8B2D47"/>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99"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Cambria" w:hAnsi="Cambria" w:eastAsia="宋体" w:cs="黑体"/>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Body Text"/>
    <w:basedOn w:val="1"/>
    <w:link w:val="26"/>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unhideWhenUsed/>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jc w:val="left"/>
    </w:pPr>
    <w:rPr>
      <w:rFonts w:hint="eastAsia" w:ascii="微软雅黑" w:hAnsi="微软雅黑" w:eastAsia="微软雅黑"/>
      <w:color w:val="333333"/>
      <w:kern w:val="0"/>
      <w:szCs w:val="21"/>
    </w:rPr>
  </w:style>
  <w:style w:type="character" w:styleId="14">
    <w:name w:val="Strong"/>
    <w:basedOn w:val="13"/>
    <w:qFormat/>
    <w:uiPriority w:val="99"/>
    <w:rPr>
      <w:b/>
    </w:rPr>
  </w:style>
  <w:style w:type="character" w:styleId="15">
    <w:name w:val="Hyperlink"/>
    <w:basedOn w:val="13"/>
    <w:unhideWhenUsed/>
    <w:qFormat/>
    <w:uiPriority w:val="99"/>
    <w:rPr>
      <w:color w:val="0000FF"/>
      <w:u w:val="single"/>
    </w:rPr>
  </w:style>
  <w:style w:type="paragraph" w:customStyle="1" w:styleId="1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8">
    <w:name w:val="List Paragraph"/>
    <w:basedOn w:val="1"/>
    <w:qFormat/>
    <w:uiPriority w:val="34"/>
    <w:pPr>
      <w:ind w:firstLine="420" w:firstLineChars="200"/>
    </w:pPr>
  </w:style>
  <w:style w:type="paragraph" w:customStyle="1" w:styleId="19">
    <w:name w:val="TOC 标题1"/>
    <w:basedOn w:val="2"/>
    <w:next w:val="1"/>
    <w:unhideWhenUsed/>
    <w:qFormat/>
    <w:uiPriority w:val="39"/>
    <w:pPr>
      <w:widowControl/>
      <w:spacing w:before="480" w:after="0" w:line="276" w:lineRule="auto"/>
      <w:jc w:val="left"/>
      <w:outlineLvl w:val="9"/>
    </w:pPr>
    <w:rPr>
      <w:rFonts w:ascii="Cambria" w:hAnsi="Cambria" w:eastAsia="宋体" w:cs="黑体"/>
      <w:color w:val="365F90"/>
      <w:kern w:val="0"/>
      <w:sz w:val="28"/>
      <w:szCs w:val="28"/>
    </w:rPr>
  </w:style>
  <w:style w:type="paragraph" w:customStyle="1" w:styleId="20">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21">
    <w:name w:val="Header Char"/>
    <w:basedOn w:val="13"/>
    <w:semiHidden/>
    <w:qFormat/>
    <w:uiPriority w:val="99"/>
    <w:rPr>
      <w:rFonts w:ascii="Times New Roman" w:hAnsi="Times New Roman"/>
      <w:sz w:val="18"/>
      <w:szCs w:val="18"/>
    </w:rPr>
  </w:style>
  <w:style w:type="character" w:customStyle="1" w:styleId="22">
    <w:name w:val="页眉 Char"/>
    <w:link w:val="9"/>
    <w:semiHidden/>
    <w:qFormat/>
    <w:locked/>
    <w:uiPriority w:val="99"/>
    <w:rPr>
      <w:sz w:val="18"/>
    </w:rPr>
  </w:style>
  <w:style w:type="character" w:customStyle="1" w:styleId="23">
    <w:name w:val="Footer Char"/>
    <w:basedOn w:val="13"/>
    <w:semiHidden/>
    <w:qFormat/>
    <w:uiPriority w:val="99"/>
    <w:rPr>
      <w:rFonts w:ascii="Times New Roman" w:hAnsi="Times New Roman"/>
      <w:sz w:val="18"/>
      <w:szCs w:val="18"/>
    </w:rPr>
  </w:style>
  <w:style w:type="character" w:customStyle="1" w:styleId="24">
    <w:name w:val="页脚 Char"/>
    <w:link w:val="8"/>
    <w:qFormat/>
    <w:locked/>
    <w:uiPriority w:val="99"/>
    <w:rPr>
      <w:sz w:val="18"/>
    </w:rPr>
  </w:style>
  <w:style w:type="character" w:customStyle="1" w:styleId="25">
    <w:name w:val="Body Text Char"/>
    <w:basedOn w:val="13"/>
    <w:semiHidden/>
    <w:qFormat/>
    <w:uiPriority w:val="99"/>
    <w:rPr>
      <w:rFonts w:ascii="Times New Roman" w:hAnsi="Times New Roman"/>
      <w:szCs w:val="24"/>
    </w:rPr>
  </w:style>
  <w:style w:type="character" w:customStyle="1" w:styleId="26">
    <w:name w:val="正文文本 Char"/>
    <w:link w:val="5"/>
    <w:qFormat/>
    <w:locked/>
    <w:uiPriority w:val="99"/>
    <w:rPr>
      <w:rFonts w:ascii="仿宋_GB2312" w:hAnsi="Times New Roman" w:eastAsia="仿宋_GB2312"/>
      <w:sz w:val="24"/>
    </w:rPr>
  </w:style>
  <w:style w:type="character" w:customStyle="1" w:styleId="27">
    <w:name w:val="标题 1 Char"/>
    <w:basedOn w:val="13"/>
    <w:link w:val="2"/>
    <w:qFormat/>
    <w:uiPriority w:val="9"/>
    <w:rPr>
      <w:rFonts w:ascii="Times New Roman" w:hAnsi="Times New Roman"/>
      <w:b/>
      <w:bCs/>
      <w:kern w:val="44"/>
      <w:sz w:val="44"/>
      <w:szCs w:val="44"/>
    </w:rPr>
  </w:style>
  <w:style w:type="character" w:customStyle="1" w:styleId="28">
    <w:name w:val="标题 2 Char"/>
    <w:basedOn w:val="13"/>
    <w:link w:val="3"/>
    <w:qFormat/>
    <w:uiPriority w:val="9"/>
    <w:rPr>
      <w:rFonts w:ascii="Cambria" w:hAnsi="Cambria" w:eastAsia="宋体" w:cs="黑体"/>
      <w:b/>
      <w:bCs/>
      <w:kern w:val="2"/>
      <w:sz w:val="32"/>
      <w:szCs w:val="32"/>
    </w:rPr>
  </w:style>
  <w:style w:type="character" w:customStyle="1" w:styleId="29">
    <w:name w:val="批注框文本 Char"/>
    <w:basedOn w:val="13"/>
    <w:link w:val="7"/>
    <w:semiHidden/>
    <w:qFormat/>
    <w:uiPriority w:val="99"/>
    <w:rPr>
      <w:rFonts w:ascii="Times New Roman" w:hAnsi="Times New Roman"/>
      <w:kern w:val="2"/>
      <w:sz w:val="18"/>
      <w:szCs w:val="18"/>
    </w:rPr>
  </w:style>
  <w:style w:type="character" w:customStyle="1" w:styleId="30">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35</Pages>
  <Words>12569</Words>
  <Characters>3029</Characters>
  <Lines>25</Lines>
  <Paragraphs>31</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争胜乡公文专号</cp:lastModifiedBy>
  <cp:lastPrinted>2019-11-25T06:34:00Z</cp:lastPrinted>
  <dcterms:modified xsi:type="dcterms:W3CDTF">2019-11-28T00:57:42Z</dcterms:modified>
  <dc:title>四川省***</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